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53D0" w14:textId="216EA538" w:rsidR="009A633C" w:rsidRPr="003C02B4" w:rsidRDefault="00573740" w:rsidP="00352828">
      <w:pPr>
        <w:jc w:val="both"/>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10. </w:t>
      </w:r>
      <w:r w:rsidR="009A633C" w:rsidRPr="003C02B4">
        <w:rPr>
          <w:rFonts w:ascii="Arial" w:hAnsi="Arial" w:cs="Arial"/>
          <w:b/>
          <w:bCs/>
          <w:caps/>
          <w:sz w:val="24"/>
          <w:szCs w:val="24"/>
          <w:shd w:val="clear" w:color="auto" w:fill="FFFFFF"/>
        </w:rPr>
        <w:t>REQUISITOS MÍNIMOS DA CONVENÇÃO DE CONDOMÍNIO EDILÍCIO</w:t>
      </w:r>
    </w:p>
    <w:p w14:paraId="35E9EBE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convenção, que poderá ser feita por escritura pública ou por instrumento particular, além das cláusulas que os interessados houverem por bem estipular, determinará obrigatoriamente:</w:t>
      </w:r>
    </w:p>
    <w:p w14:paraId="6A0CF030"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DISPOSIÇÕES GERAIS</w:t>
      </w:r>
    </w:p>
    <w:p w14:paraId="0D67536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discriminação e individualização das unidades de propriedade exclusiva, estremadas uma das outras e das partes comuns;</w:t>
      </w:r>
    </w:p>
    <w:p w14:paraId="4FF77AD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determinação da fração ideal atribuída a cada unidade, relativamente ao terreno e partes comuns;</w:t>
      </w:r>
    </w:p>
    <w:p w14:paraId="642FB36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III – o fim a que as unidades se destinam.</w:t>
      </w:r>
    </w:p>
    <w:p w14:paraId="1502BD4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IV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quota proporcional e o modo de pagamento das contribuições dos condôminos para atender às despesas ordinárias e extraordinárias do condomínio;</w:t>
      </w:r>
    </w:p>
    <w:p w14:paraId="2524297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 – </w:t>
      </w:r>
      <w:proofErr w:type="gramStart"/>
      <w:r w:rsidRPr="003C02B4">
        <w:rPr>
          <w:rFonts w:ascii="Arial" w:eastAsia="Times New Roman" w:hAnsi="Arial" w:cs="Arial"/>
          <w:kern w:val="0"/>
          <w:sz w:val="24"/>
          <w:szCs w:val="24"/>
          <w:lang w:eastAsia="pt-BR"/>
          <w14:ligatures w14:val="none"/>
        </w:rPr>
        <w:t>sua</w:t>
      </w:r>
      <w:proofErr w:type="gramEnd"/>
      <w:r w:rsidRPr="003C02B4">
        <w:rPr>
          <w:rFonts w:ascii="Arial" w:eastAsia="Times New Roman" w:hAnsi="Arial" w:cs="Arial"/>
          <w:kern w:val="0"/>
          <w:sz w:val="24"/>
          <w:szCs w:val="24"/>
          <w:lang w:eastAsia="pt-BR"/>
          <w14:ligatures w14:val="none"/>
        </w:rPr>
        <w:t xml:space="preserve"> forma de administração;</w:t>
      </w:r>
    </w:p>
    <w:p w14:paraId="7758219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VI – </w:t>
      </w:r>
      <w:proofErr w:type="gramStart"/>
      <w:r w:rsidRPr="003C02B4">
        <w:rPr>
          <w:rFonts w:ascii="Arial" w:eastAsia="Times New Roman" w:hAnsi="Arial" w:cs="Arial"/>
          <w:kern w:val="0"/>
          <w:sz w:val="24"/>
          <w:szCs w:val="24"/>
          <w:lang w:eastAsia="pt-BR"/>
          <w14:ligatures w14:val="none"/>
        </w:rPr>
        <w:t>a</w:t>
      </w:r>
      <w:proofErr w:type="gramEnd"/>
      <w:r w:rsidRPr="003C02B4">
        <w:rPr>
          <w:rFonts w:ascii="Arial" w:eastAsia="Times New Roman" w:hAnsi="Arial" w:cs="Arial"/>
          <w:kern w:val="0"/>
          <w:sz w:val="24"/>
          <w:szCs w:val="24"/>
          <w:lang w:eastAsia="pt-BR"/>
          <w14:ligatures w14:val="none"/>
        </w:rPr>
        <w:t xml:space="preserve"> competência das assembléias, forma de sua convocação e quorum exigido para as deliberações;</w:t>
      </w:r>
    </w:p>
    <w:p w14:paraId="0B0E33E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 – as sanções a que estão sujeitos os condôminos, ou possuidores;</w:t>
      </w:r>
    </w:p>
    <w:p w14:paraId="3AEA748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VIII – o regimento interno.</w:t>
      </w:r>
    </w:p>
    <w:p w14:paraId="4F85DED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DOS CONDÔMINOS</w:t>
      </w:r>
    </w:p>
    <w:p w14:paraId="5DC3095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IX – Informar os direitos do condômino, entre eles:</w:t>
      </w:r>
    </w:p>
    <w:p w14:paraId="1E49442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usar</w:t>
      </w:r>
      <w:proofErr w:type="gramEnd"/>
      <w:r w:rsidRPr="003C02B4">
        <w:rPr>
          <w:rFonts w:ascii="Arial" w:eastAsia="Times New Roman" w:hAnsi="Arial" w:cs="Arial"/>
          <w:kern w:val="0"/>
          <w:sz w:val="24"/>
          <w:szCs w:val="24"/>
          <w:lang w:eastAsia="pt-BR"/>
          <w14:ligatures w14:val="none"/>
        </w:rPr>
        <w:t>, fruir e livremente dispor das suas unidades;</w:t>
      </w:r>
    </w:p>
    <w:p w14:paraId="7BC7D92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usar das partes comuns, conforme a sua destinação, e contanto que não exclua a utilização dos demais compossuidores;</w:t>
      </w:r>
    </w:p>
    <w:p w14:paraId="3CE21F8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 – votar nas deliberações da assembléia e delas participar, estando quite.</w:t>
      </w:r>
    </w:p>
    <w:p w14:paraId="49E07C2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 – Informar os deveres do condômino, entre eles:</w:t>
      </w:r>
    </w:p>
    <w:p w14:paraId="44078C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contribuir</w:t>
      </w:r>
      <w:proofErr w:type="gramEnd"/>
      <w:r w:rsidRPr="003C02B4">
        <w:rPr>
          <w:rFonts w:ascii="Arial" w:eastAsia="Times New Roman" w:hAnsi="Arial" w:cs="Arial"/>
          <w:kern w:val="0"/>
          <w:sz w:val="24"/>
          <w:szCs w:val="24"/>
          <w:lang w:eastAsia="pt-BR"/>
          <w14:ligatures w14:val="none"/>
        </w:rPr>
        <w:t xml:space="preserve"> para as despesas do condomínio na proporção das suas frações ideais, salvo disposição em contrário na convenção;</w:t>
      </w:r>
    </w:p>
    <w:p w14:paraId="70999A6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não realizar obras que comprometam a segurança da edificação;</w:t>
      </w:r>
    </w:p>
    <w:p w14:paraId="4FC5252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 – não alterar a forma e a cor da fachada, das partes e esquadrias externas;</w:t>
      </w:r>
    </w:p>
    <w:p w14:paraId="592F2AC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d – </w:t>
      </w:r>
      <w:proofErr w:type="gramStart"/>
      <w:r w:rsidRPr="003C02B4">
        <w:rPr>
          <w:rFonts w:ascii="Arial" w:eastAsia="Times New Roman" w:hAnsi="Arial" w:cs="Arial"/>
          <w:kern w:val="0"/>
          <w:sz w:val="24"/>
          <w:szCs w:val="24"/>
          <w:lang w:eastAsia="pt-BR"/>
          <w14:ligatures w14:val="none"/>
        </w:rPr>
        <w:t>dar</w:t>
      </w:r>
      <w:proofErr w:type="gramEnd"/>
      <w:r w:rsidRPr="003C02B4">
        <w:rPr>
          <w:rFonts w:ascii="Arial" w:eastAsia="Times New Roman" w:hAnsi="Arial" w:cs="Arial"/>
          <w:kern w:val="0"/>
          <w:sz w:val="24"/>
          <w:szCs w:val="24"/>
          <w:lang w:eastAsia="pt-BR"/>
          <w14:ligatures w14:val="none"/>
        </w:rPr>
        <w:t xml:space="preserve"> às suas partes a mesma destinação que tem a edificação, e não as utilizar de maneira prejudicial ao sossego, salubridade e segurança dos possuidores, ou aos bons costumes.</w:t>
      </w:r>
    </w:p>
    <w:p w14:paraId="0189C7F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 – O condômino que não pagar a sua contribuição ficará sujeito aos juros moratórios convencionados ou, não sendo previstos, os de um por cento ao mês e multa de até dois por cento sobre o débito.</w:t>
      </w:r>
    </w:p>
    <w:p w14:paraId="1DC8881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XII – O condômino, que não cumprir qualquer dos deveres estabelecidos nas letras ‘b’ a ‘d’ do inciso X, pagará a multa prevista na convenção, não podendo ela ser superior a cinco vezes o valor de suas contribuições mensais, independentemente das perdas e danos que se apurarem; não havendo disposição expressa, caberá à assembléia geral, por dois terços no mínimo dos condôminos restantes, deliberar sobre a cobrança da multa.</w:t>
      </w:r>
    </w:p>
    <w:p w14:paraId="31190FB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XIII – O condômino, ou possuidor, que não cumpre reiteradamente com os seus deveres perante o condomínio poderá, por deliberação de três quartos dos condôminos restantes, ser constrangido a pagar multa correspondente até ao quíntuplo do valor atribuído à contribuição para as despesas condominiais, conforme a gravidade das faltas e a reiteração, independentemente das perdas e danos que se apurem.</w:t>
      </w:r>
    </w:p>
    <w:p w14:paraId="297D3B3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XIV – O condômino ou possuidor que, por seu reiterado comportamento </w:t>
      </w:r>
      <w:proofErr w:type="gramStart"/>
      <w:r w:rsidRPr="003C02B4">
        <w:rPr>
          <w:rFonts w:ascii="Arial" w:eastAsia="Times New Roman" w:hAnsi="Arial" w:cs="Arial"/>
          <w:kern w:val="0"/>
          <w:sz w:val="24"/>
          <w:szCs w:val="24"/>
          <w:lang w:eastAsia="pt-BR"/>
          <w14:ligatures w14:val="none"/>
        </w:rPr>
        <w:t>anti-social</w:t>
      </w:r>
      <w:proofErr w:type="gramEnd"/>
      <w:r w:rsidRPr="003C02B4">
        <w:rPr>
          <w:rFonts w:ascii="Arial" w:eastAsia="Times New Roman" w:hAnsi="Arial" w:cs="Arial"/>
          <w:kern w:val="0"/>
          <w:sz w:val="24"/>
          <w:szCs w:val="24"/>
          <w:lang w:eastAsia="pt-BR"/>
          <w14:ligatures w14:val="none"/>
        </w:rPr>
        <w:t>, gerar incompatibilidade de convivência com os demais condôminos ou possuidores, poderá ser constrangido a pagar multa correspondente ao décuplo do valor atribuído à contribuição para as despesas condominiais, até ulterior deliberação da assembléia.</w:t>
      </w:r>
    </w:p>
    <w:p w14:paraId="4455404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 – Resolvendo o condômino alugar área no abrigo para veículos, preferir-se-á, em condições iguais, qualquer dos condôminos a estranhos, e, entre todos, os possuidores.</w:t>
      </w:r>
    </w:p>
    <w:p w14:paraId="158FA1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 – Os direitos de cada condômino às partes comuns são inseparáveis de sua propriedade exclusiva; são também inseparáveis das frações ideais correspondentes as unidades imobiliárias, com as suas partes acessórias.</w:t>
      </w:r>
    </w:p>
    <w:p w14:paraId="423C01B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a – Nos casos deste inciso é proibido alienar ou gravar os bens em separado.</w:t>
      </w:r>
    </w:p>
    <w:p w14:paraId="131B66B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É permitido ao condômino alienar parte acessória de sua unidade imobiliária a outro condômino, só podendo fazê-lo a terceiro se essa faculdade constar do ato constitutivo do condomínio, e se a ela não se opuser a respectiva assembléia geral.</w:t>
      </w:r>
    </w:p>
    <w:p w14:paraId="1D41012E"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XVII – As despesas relativas a partes comuns de uso exclusivo de um condômino, ou de alguns deles, incumbem a quem delas se serve.</w:t>
      </w:r>
    </w:p>
    <w:p w14:paraId="61D7151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DISPOSIÇÕES ESPECIAIS </w:t>
      </w:r>
    </w:p>
    <w:p w14:paraId="13518D05"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XVIII – A realização de obras no condomínio depende:</w:t>
      </w:r>
    </w:p>
    <w:p w14:paraId="3A9BB4F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 xml:space="preserve">a – </w:t>
      </w:r>
      <w:proofErr w:type="gramStart"/>
      <w:r w:rsidRPr="003C02B4">
        <w:rPr>
          <w:rFonts w:ascii="Arial" w:eastAsia="Times New Roman" w:hAnsi="Arial" w:cs="Arial"/>
          <w:kern w:val="0"/>
          <w:sz w:val="24"/>
          <w:szCs w:val="24"/>
          <w:lang w:eastAsia="pt-BR"/>
          <w14:ligatures w14:val="none"/>
        </w:rPr>
        <w:t>se</w:t>
      </w:r>
      <w:proofErr w:type="gramEnd"/>
      <w:r w:rsidRPr="003C02B4">
        <w:rPr>
          <w:rFonts w:ascii="Arial" w:eastAsia="Times New Roman" w:hAnsi="Arial" w:cs="Arial"/>
          <w:kern w:val="0"/>
          <w:sz w:val="24"/>
          <w:szCs w:val="24"/>
          <w:lang w:eastAsia="pt-BR"/>
          <w14:ligatures w14:val="none"/>
        </w:rPr>
        <w:t xml:space="preserve"> voluptuárias, de voto de dois terços dos condôminos;</w:t>
      </w:r>
    </w:p>
    <w:p w14:paraId="027AFBE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b – se úteis, de voto da maioria dos condôminos.</w:t>
      </w:r>
    </w:p>
    <w:p w14:paraId="431F2E14" w14:textId="77777777" w:rsidR="009A633C" w:rsidRPr="003C02B4" w:rsidRDefault="009A633C" w:rsidP="00352828">
      <w:pPr>
        <w:numPr>
          <w:ilvl w:val="0"/>
          <w:numId w:val="24"/>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As obras ou reparações necessárias podem ser realizadas, independentemente de autorização, pelo síndico, ou, em caso de omissão ou impedimento deste, por qualquer condômino.</w:t>
      </w:r>
    </w:p>
    <w:p w14:paraId="1E378897" w14:textId="77777777" w:rsidR="009A633C" w:rsidRPr="003C02B4" w:rsidRDefault="009A633C" w:rsidP="00352828">
      <w:pPr>
        <w:numPr>
          <w:ilvl w:val="0"/>
          <w:numId w:val="25"/>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Se as obras ou reparos necessários forem urgentes e importarem em despesas excessivas, determinada sua realização, o síndico ou o condômino que tomou a iniciativa delas dará ciência à assembléia, que deverá ser convocada imediatamente.</w:t>
      </w:r>
    </w:p>
    <w:p w14:paraId="537FD2BC" w14:textId="77777777" w:rsidR="009A633C" w:rsidRPr="003C02B4" w:rsidRDefault="009A633C" w:rsidP="00352828">
      <w:pPr>
        <w:numPr>
          <w:ilvl w:val="0"/>
          <w:numId w:val="26"/>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3</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Não sendo urgentes, as obras ou reparos necessários, que importarem em despesas excessivas, somente poderão ser efetuadas após autorização da assembléia, especialmente convocada pelo síndico, ou, em caso de omissão ou impedimento deste, por qualquer dos condôminos.</w:t>
      </w:r>
    </w:p>
    <w:p w14:paraId="69C453E1" w14:textId="77777777" w:rsidR="009A633C" w:rsidRPr="003C02B4" w:rsidRDefault="009A633C" w:rsidP="00352828">
      <w:pPr>
        <w:numPr>
          <w:ilvl w:val="0"/>
          <w:numId w:val="27"/>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4</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O condômino que realizar obras ou reparos necessários será reembolsado das despesas que efetuar, não tendo direito à restituição das que fizer com obras ou reparos de outra natureza, embora de interesse comum.</w:t>
      </w:r>
    </w:p>
    <w:p w14:paraId="2BD2D9E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XIX – A realização de obras, em partes comuns, em acréscimo às já existentes, a fim de lhes facilitar ou aumentar a utilização, depende da aprovação de dois terços dos votos dos condôminos, não sendo permitidas construções, nas partes comuns, suscetíveis de prejudicar a utilização, por qualquer dos condôminos, das partes próprias, ou comuns.</w:t>
      </w:r>
    </w:p>
    <w:p w14:paraId="52FEFDE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 – A construção de outro pavimento, ou, no solo comum, de outro edifício, destinado a conter novas unidades imobiliárias, depende da aprovação da unanimidade dos condôminos.</w:t>
      </w:r>
    </w:p>
    <w:p w14:paraId="1B5ECE6D"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 – Ao proprietário do terraço de cobertura incumbem as despesas da sua conservação, de modo que não haja danos às unidades imobiliárias inferiores.</w:t>
      </w:r>
    </w:p>
    <w:p w14:paraId="1F21E0B9"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XXII – É obrigatório o seguro de toda a edificação contra o risco de incêndio ou destruição, total ou parcial.</w:t>
      </w:r>
    </w:p>
    <w:p w14:paraId="71B6EAB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DA ADMINISTRAÇÃO DO CONDOMÍNIO</w:t>
      </w:r>
    </w:p>
    <w:p w14:paraId="1157D36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XXIII – A assembléia escolherá um síndico, que poderá não ser condômino, para administrar o condomínio, por prazo não superior a dois anos, o qual poderá renovar-se.</w:t>
      </w:r>
    </w:p>
    <w:p w14:paraId="7155538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XXIV – Compete ao síndico:</w:t>
      </w:r>
    </w:p>
    <w:p w14:paraId="7171743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a – </w:t>
      </w:r>
      <w:proofErr w:type="gramStart"/>
      <w:r w:rsidRPr="003C02B4">
        <w:rPr>
          <w:rFonts w:ascii="Arial" w:eastAsia="Times New Roman" w:hAnsi="Arial" w:cs="Arial"/>
          <w:kern w:val="0"/>
          <w:sz w:val="24"/>
          <w:szCs w:val="24"/>
          <w:lang w:eastAsia="pt-BR"/>
          <w14:ligatures w14:val="none"/>
        </w:rPr>
        <w:t>convocar</w:t>
      </w:r>
      <w:proofErr w:type="gramEnd"/>
      <w:r w:rsidRPr="003C02B4">
        <w:rPr>
          <w:rFonts w:ascii="Arial" w:eastAsia="Times New Roman" w:hAnsi="Arial" w:cs="Arial"/>
          <w:kern w:val="0"/>
          <w:sz w:val="24"/>
          <w:szCs w:val="24"/>
          <w:lang w:eastAsia="pt-BR"/>
          <w14:ligatures w14:val="none"/>
        </w:rPr>
        <w:t xml:space="preserve"> a assembléia dos condôminos;</w:t>
      </w:r>
    </w:p>
    <w:p w14:paraId="2883979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b – representar, ativa e passivamente, o condomínio, praticando, em juízo ou fora dele, os atos necessários à defesa dos interesses comuns;</w:t>
      </w:r>
    </w:p>
    <w:p w14:paraId="5B5AD484"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c – dar imediato conhecimento à assembléia da existência de procedimento judicial ou administrativo, de interesse do condomínio;</w:t>
      </w:r>
    </w:p>
    <w:p w14:paraId="4697BE4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d – </w:t>
      </w:r>
      <w:proofErr w:type="gramStart"/>
      <w:r w:rsidRPr="003C02B4">
        <w:rPr>
          <w:rFonts w:ascii="Arial" w:eastAsia="Times New Roman" w:hAnsi="Arial" w:cs="Arial"/>
          <w:kern w:val="0"/>
          <w:sz w:val="24"/>
          <w:szCs w:val="24"/>
          <w:lang w:eastAsia="pt-BR"/>
          <w14:ligatures w14:val="none"/>
        </w:rPr>
        <w:t>cumprir</w:t>
      </w:r>
      <w:proofErr w:type="gramEnd"/>
      <w:r w:rsidRPr="003C02B4">
        <w:rPr>
          <w:rFonts w:ascii="Arial" w:eastAsia="Times New Roman" w:hAnsi="Arial" w:cs="Arial"/>
          <w:kern w:val="0"/>
          <w:sz w:val="24"/>
          <w:szCs w:val="24"/>
          <w:lang w:eastAsia="pt-BR"/>
          <w14:ligatures w14:val="none"/>
        </w:rPr>
        <w:t xml:space="preserve"> e fazer cumprir a convenção, o regimento interno e as determinações da assembléia;</w:t>
      </w:r>
    </w:p>
    <w:p w14:paraId="466C2421"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e – </w:t>
      </w:r>
      <w:proofErr w:type="gramStart"/>
      <w:r w:rsidRPr="003C02B4">
        <w:rPr>
          <w:rFonts w:ascii="Arial" w:eastAsia="Times New Roman" w:hAnsi="Arial" w:cs="Arial"/>
          <w:kern w:val="0"/>
          <w:sz w:val="24"/>
          <w:szCs w:val="24"/>
          <w:lang w:eastAsia="pt-BR"/>
          <w14:ligatures w14:val="none"/>
        </w:rPr>
        <w:t>diligenciar</w:t>
      </w:r>
      <w:proofErr w:type="gramEnd"/>
      <w:r w:rsidRPr="003C02B4">
        <w:rPr>
          <w:rFonts w:ascii="Arial" w:eastAsia="Times New Roman" w:hAnsi="Arial" w:cs="Arial"/>
          <w:kern w:val="0"/>
          <w:sz w:val="24"/>
          <w:szCs w:val="24"/>
          <w:lang w:eastAsia="pt-BR"/>
          <w14:ligatures w14:val="none"/>
        </w:rPr>
        <w:t xml:space="preserve"> a conservação e a guarda das partes comuns e zelar pela prestação dos serviços que interessem aos possuidores;</w:t>
      </w:r>
    </w:p>
    <w:p w14:paraId="3DB2DA8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f – elaborar o orçamento da receita e da despesa relativa a cada ano;</w:t>
      </w:r>
    </w:p>
    <w:p w14:paraId="117582DF"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g – </w:t>
      </w:r>
      <w:proofErr w:type="gramStart"/>
      <w:r w:rsidRPr="003C02B4">
        <w:rPr>
          <w:rFonts w:ascii="Arial" w:eastAsia="Times New Roman" w:hAnsi="Arial" w:cs="Arial"/>
          <w:kern w:val="0"/>
          <w:sz w:val="24"/>
          <w:szCs w:val="24"/>
          <w:lang w:eastAsia="pt-BR"/>
          <w14:ligatures w14:val="none"/>
        </w:rPr>
        <w:t>cobrar</w:t>
      </w:r>
      <w:proofErr w:type="gramEnd"/>
      <w:r w:rsidRPr="003C02B4">
        <w:rPr>
          <w:rFonts w:ascii="Arial" w:eastAsia="Times New Roman" w:hAnsi="Arial" w:cs="Arial"/>
          <w:kern w:val="0"/>
          <w:sz w:val="24"/>
          <w:szCs w:val="24"/>
          <w:lang w:eastAsia="pt-BR"/>
          <w14:ligatures w14:val="none"/>
        </w:rPr>
        <w:t xml:space="preserve"> dos condôminos as suas contribuições, bem como impor e cobrar as multas devidas;</w:t>
      </w:r>
    </w:p>
    <w:p w14:paraId="642A701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 xml:space="preserve">h – </w:t>
      </w:r>
      <w:proofErr w:type="gramStart"/>
      <w:r w:rsidRPr="003C02B4">
        <w:rPr>
          <w:rFonts w:ascii="Arial" w:eastAsia="Times New Roman" w:hAnsi="Arial" w:cs="Arial"/>
          <w:kern w:val="0"/>
          <w:sz w:val="24"/>
          <w:szCs w:val="24"/>
          <w:lang w:eastAsia="pt-BR"/>
          <w14:ligatures w14:val="none"/>
        </w:rPr>
        <w:t>prestar</w:t>
      </w:r>
      <w:proofErr w:type="gramEnd"/>
      <w:r w:rsidRPr="003C02B4">
        <w:rPr>
          <w:rFonts w:ascii="Arial" w:eastAsia="Times New Roman" w:hAnsi="Arial" w:cs="Arial"/>
          <w:kern w:val="0"/>
          <w:sz w:val="24"/>
          <w:szCs w:val="24"/>
          <w:lang w:eastAsia="pt-BR"/>
          <w14:ligatures w14:val="none"/>
        </w:rPr>
        <w:t xml:space="preserve"> contas à assembléia, anualmente e quando exigidas;</w:t>
      </w:r>
    </w:p>
    <w:p w14:paraId="4B1AFC58"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i – realizar o seguro da edificação.</w:t>
      </w:r>
    </w:p>
    <w:p w14:paraId="654F9B93" w14:textId="77777777" w:rsidR="009A633C" w:rsidRPr="003C02B4" w:rsidRDefault="009A633C" w:rsidP="00352828">
      <w:pPr>
        <w:numPr>
          <w:ilvl w:val="0"/>
          <w:numId w:val="2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Poderá a assembléia investir outra pessoa, em lugar do síndico, em poderes de representação.</w:t>
      </w:r>
    </w:p>
    <w:p w14:paraId="3A104DEA" w14:textId="77777777" w:rsidR="009A633C" w:rsidRPr="003C02B4" w:rsidRDefault="009A633C" w:rsidP="00352828">
      <w:pPr>
        <w:numPr>
          <w:ilvl w:val="0"/>
          <w:numId w:val="28"/>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O síndico pode transferir a outrem, total ou parcialmente, os poderes de representação ou as funções administrativas, mediante aprovação da assembléia, salvo disposição em contrário da convenção.</w:t>
      </w:r>
    </w:p>
    <w:p w14:paraId="1E89D8F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XXV – A assembléia, especialmente convocada para o fim estabelecido no § 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do inciso antecedente, poderá, pelo voto da maioria absoluta de seus membros, destituir o síndico que praticar irregularidades, não prestar contas, ou não administrar convenientemente o condomínio.</w:t>
      </w:r>
    </w:p>
    <w:p w14:paraId="2956004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DA ASSEMBLÉIA GERAL</w:t>
      </w:r>
    </w:p>
    <w:p w14:paraId="6354AD1B"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XXVI – Convocará o síndico, anualmente, reunião da assembléia dos condôminos, na forma prevista na convenção, a fim de aprovar o orçamento das despesas, as contribuições dos condôminos e a prestação de contas, e eventualmente eleger-lhe o substituto e alterar o regimento interno.</w:t>
      </w:r>
    </w:p>
    <w:p w14:paraId="4281C970" w14:textId="77777777" w:rsidR="009A633C" w:rsidRPr="003C02B4" w:rsidRDefault="009A633C" w:rsidP="00352828">
      <w:pPr>
        <w:numPr>
          <w:ilvl w:val="0"/>
          <w:numId w:val="2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1</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Se o síndico não convocar a assembléia, um quarto dos condôminos poderá fazê-lo.</w:t>
      </w:r>
    </w:p>
    <w:p w14:paraId="0819A55B" w14:textId="77777777" w:rsidR="009A633C" w:rsidRPr="003C02B4" w:rsidRDefault="009A633C" w:rsidP="00352828">
      <w:pPr>
        <w:numPr>
          <w:ilvl w:val="0"/>
          <w:numId w:val="29"/>
        </w:num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2</w:t>
      </w:r>
      <w:r w:rsidRPr="003C02B4">
        <w:rPr>
          <w:rFonts w:ascii="Arial" w:eastAsia="Times New Roman" w:hAnsi="Arial" w:cs="Arial"/>
          <w:kern w:val="0"/>
          <w:sz w:val="24"/>
          <w:szCs w:val="24"/>
          <w:vertAlign w:val="superscript"/>
          <w:lang w:eastAsia="pt-BR"/>
          <w14:ligatures w14:val="none"/>
        </w:rPr>
        <w:t>o</w:t>
      </w:r>
      <w:r w:rsidRPr="003C02B4">
        <w:rPr>
          <w:rFonts w:ascii="Arial" w:eastAsia="Times New Roman" w:hAnsi="Arial" w:cs="Arial"/>
          <w:kern w:val="0"/>
          <w:sz w:val="24"/>
          <w:szCs w:val="24"/>
          <w:lang w:eastAsia="pt-BR"/>
          <w14:ligatures w14:val="none"/>
        </w:rPr>
        <w:t>– Se a assembléia não se reunir, o juiz decidirá, a requerimento de qualquer condômino.</w:t>
      </w:r>
    </w:p>
    <w:p w14:paraId="5AE95B7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XXVII – Depende da aprovação de 2/3 (dois terços) dos votos dos condôminos a alteração da convenção; a mudança da destinação do edifício, ou da unidade imobiliária, depende da aprovação pela unanimidade dos condôminos.</w:t>
      </w:r>
    </w:p>
    <w:p w14:paraId="4566C20A"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lastRenderedPageBreak/>
        <w:t>XXVIII – Salvo quando exigido quorum especial, as deliberações da assembléia serão tomadas, em primeira convocação, por maioria de votos dos condôminos presentes que representem pelo menos metade das frações ideais.</w:t>
      </w:r>
    </w:p>
    <w:p w14:paraId="122EE35C"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Parágrafo único. Os votos serão proporcionais às frações ideais no solo e nas outras partes comuns pertencentes a cada condômino, salvo disposição diversa da convenção de constituição do condomínio.</w:t>
      </w:r>
    </w:p>
    <w:p w14:paraId="2BD4FF37"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XXIX – Em segunda convocação, a assembléia poderá deliberar por maioria dos votos dos presentes, salvo quando exigido quorum especial.</w:t>
      </w:r>
    </w:p>
    <w:p w14:paraId="254F9CB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XXX – A assembléia não poderá deliberar se todos os condôminos não forem convocados para a reunião.</w:t>
      </w:r>
    </w:p>
    <w:p w14:paraId="7A3B4FF2"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XXXI – Assembléias extraordinárias poderão ser convocadas pelo síndico ou por um quarto dos condôminos.</w:t>
      </w:r>
    </w:p>
    <w:p w14:paraId="5076FDB6"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XXXII – Poderá haver no condomínio um conselho fiscal, composto de três membros, eleitos pela assembléia, por prazo não superior a dois anos, ao qual compete dar parecer sobre as contas do síndico.</w:t>
      </w:r>
    </w:p>
    <w:p w14:paraId="7FF00043" w14:textId="77777777" w:rsidR="009A633C" w:rsidRPr="003C02B4" w:rsidRDefault="009A633C" w:rsidP="00352828">
      <w:pPr>
        <w:shd w:val="clear" w:color="auto" w:fill="FFFFFF"/>
        <w:spacing w:before="100" w:beforeAutospacing="1" w:after="100" w:afterAutospacing="1" w:line="240" w:lineRule="auto"/>
        <w:jc w:val="both"/>
        <w:rPr>
          <w:rFonts w:ascii="Arial" w:eastAsia="Times New Roman" w:hAnsi="Arial" w:cs="Arial"/>
          <w:kern w:val="0"/>
          <w:sz w:val="24"/>
          <w:szCs w:val="24"/>
          <w:lang w:eastAsia="pt-BR"/>
          <w14:ligatures w14:val="none"/>
        </w:rPr>
      </w:pPr>
      <w:r w:rsidRPr="003C02B4">
        <w:rPr>
          <w:rFonts w:ascii="Arial" w:eastAsia="Times New Roman" w:hAnsi="Arial" w:cs="Arial"/>
          <w:kern w:val="0"/>
          <w:sz w:val="24"/>
          <w:szCs w:val="24"/>
          <w:lang w:eastAsia="pt-BR"/>
          <w14:ligatures w14:val="none"/>
        </w:rPr>
        <w:t>Fonte: Arts. 1.332 a 1.356 CCB e art. 9º e segs. da Lei 4591/64.</w:t>
      </w:r>
    </w:p>
    <w:p w14:paraId="7239D079" w14:textId="77777777" w:rsidR="00954E02" w:rsidRPr="00954E02" w:rsidRDefault="00954E02" w:rsidP="00954E02">
      <w:pPr>
        <w:jc w:val="center"/>
        <w:rPr>
          <w:rFonts w:ascii="Arial" w:hAnsi="Arial"/>
          <w:b/>
          <w:caps/>
        </w:rPr>
      </w:pPr>
      <w:r w:rsidRPr="00954E02">
        <w:rPr>
          <w:rFonts w:ascii="Arial" w:hAnsi="Arial"/>
          <w:b/>
          <w:caps/>
        </w:rPr>
        <w:t>Quóruns de Assembléia:</w:t>
      </w:r>
    </w:p>
    <w:tbl>
      <w:tblPr>
        <w:tblW w:w="8346" w:type="dxa"/>
        <w:tblInd w:w="114" w:type="dxa"/>
        <w:tblLayout w:type="fixed"/>
        <w:tblLook w:val="0000" w:firstRow="0" w:lastRow="0" w:firstColumn="0" w:lastColumn="0" w:noHBand="0" w:noVBand="0"/>
      </w:tblPr>
      <w:tblGrid>
        <w:gridCol w:w="2519"/>
        <w:gridCol w:w="5827"/>
      </w:tblGrid>
      <w:tr w:rsidR="00954E02" w:rsidRPr="00794EF5" w14:paraId="7A2C33E5" w14:textId="77777777" w:rsidTr="00794EF5">
        <w:trPr>
          <w:cantSplit/>
          <w:trHeight w:hRule="exact" w:val="653"/>
        </w:trPr>
        <w:tc>
          <w:tcPr>
            <w:tcW w:w="2519" w:type="dxa"/>
            <w:vMerge w:val="restart"/>
            <w:tcBorders>
              <w:top w:val="thinThickSmallGap" w:sz="24" w:space="0" w:color="auto"/>
              <w:left w:val="thinThickSmallGap" w:sz="24" w:space="0" w:color="auto"/>
              <w:bottom w:val="double" w:sz="28" w:space="0" w:color="000000"/>
            </w:tcBorders>
          </w:tcPr>
          <w:p w14:paraId="22572129" w14:textId="77777777" w:rsidR="00954E02" w:rsidRPr="00794EF5" w:rsidRDefault="00954E02" w:rsidP="00C34546">
            <w:pPr>
              <w:snapToGrid w:val="0"/>
              <w:rPr>
                <w:rFonts w:ascii="Arial" w:hAnsi="Arial"/>
                <w:sz w:val="18"/>
                <w:szCs w:val="18"/>
              </w:rPr>
            </w:pPr>
          </w:p>
          <w:p w14:paraId="039FEC61" w14:textId="77777777" w:rsidR="00954E02" w:rsidRPr="00794EF5" w:rsidRDefault="00954E02" w:rsidP="00C34546">
            <w:pPr>
              <w:snapToGrid w:val="0"/>
              <w:rPr>
                <w:rFonts w:ascii="Arial" w:hAnsi="Arial"/>
                <w:sz w:val="18"/>
                <w:szCs w:val="18"/>
              </w:rPr>
            </w:pPr>
            <w:r w:rsidRPr="00794EF5">
              <w:rPr>
                <w:rFonts w:ascii="Arial" w:hAnsi="Arial"/>
                <w:sz w:val="18"/>
                <w:szCs w:val="18"/>
              </w:rPr>
              <w:t>a) Comuns</w:t>
            </w:r>
          </w:p>
        </w:tc>
        <w:tc>
          <w:tcPr>
            <w:tcW w:w="5827" w:type="dxa"/>
            <w:tcBorders>
              <w:top w:val="thinThickSmallGap" w:sz="24" w:space="0" w:color="auto"/>
              <w:left w:val="single" w:sz="4" w:space="0" w:color="000000"/>
              <w:bottom w:val="single" w:sz="4" w:space="0" w:color="000000"/>
              <w:right w:val="thickThinSmallGap" w:sz="24" w:space="0" w:color="auto"/>
            </w:tcBorders>
          </w:tcPr>
          <w:p w14:paraId="293BE77B" w14:textId="77777777" w:rsidR="00954E02" w:rsidRPr="00794EF5" w:rsidRDefault="00954E02" w:rsidP="00C34546">
            <w:pPr>
              <w:snapToGrid w:val="0"/>
              <w:rPr>
                <w:rFonts w:ascii="Arial" w:hAnsi="Arial"/>
                <w:sz w:val="18"/>
                <w:szCs w:val="18"/>
              </w:rPr>
            </w:pPr>
            <w:r w:rsidRPr="00794EF5">
              <w:rPr>
                <w:rFonts w:ascii="Arial" w:hAnsi="Arial"/>
                <w:sz w:val="18"/>
                <w:szCs w:val="18"/>
              </w:rPr>
              <w:t>1ª convocação: Maioria dos presentes (desde que haja ½ das frações ideais) (Art. 1352)</w:t>
            </w:r>
          </w:p>
        </w:tc>
      </w:tr>
      <w:tr w:rsidR="00954E02" w:rsidRPr="00794EF5" w14:paraId="113D5E1B" w14:textId="77777777" w:rsidTr="00794EF5">
        <w:trPr>
          <w:cantSplit/>
        </w:trPr>
        <w:tc>
          <w:tcPr>
            <w:tcW w:w="2519" w:type="dxa"/>
            <w:vMerge/>
            <w:tcBorders>
              <w:top w:val="double" w:sz="20" w:space="0" w:color="000000"/>
              <w:left w:val="thinThickSmallGap" w:sz="24" w:space="0" w:color="auto"/>
              <w:bottom w:val="double" w:sz="28" w:space="0" w:color="000000"/>
            </w:tcBorders>
          </w:tcPr>
          <w:p w14:paraId="0CCFCCB5" w14:textId="77777777" w:rsidR="00954E02" w:rsidRPr="00794EF5" w:rsidRDefault="00954E02" w:rsidP="00C34546">
            <w:pPr>
              <w:rPr>
                <w:sz w:val="18"/>
                <w:szCs w:val="18"/>
              </w:rPr>
            </w:pPr>
          </w:p>
        </w:tc>
        <w:tc>
          <w:tcPr>
            <w:tcW w:w="5827" w:type="dxa"/>
            <w:tcBorders>
              <w:top w:val="single" w:sz="4" w:space="0" w:color="auto"/>
              <w:left w:val="single" w:sz="4" w:space="0" w:color="000000"/>
              <w:bottom w:val="double" w:sz="28" w:space="0" w:color="000000"/>
              <w:right w:val="thickThinSmallGap" w:sz="24" w:space="0" w:color="auto"/>
            </w:tcBorders>
          </w:tcPr>
          <w:p w14:paraId="1AED009E" w14:textId="77777777" w:rsidR="00954E02" w:rsidRPr="00794EF5" w:rsidRDefault="00954E02" w:rsidP="00C34546">
            <w:pPr>
              <w:snapToGrid w:val="0"/>
              <w:rPr>
                <w:rFonts w:ascii="Arial" w:hAnsi="Arial"/>
                <w:sz w:val="18"/>
                <w:szCs w:val="18"/>
              </w:rPr>
            </w:pPr>
            <w:r w:rsidRPr="00794EF5">
              <w:rPr>
                <w:rFonts w:ascii="Arial" w:hAnsi="Arial"/>
                <w:sz w:val="18"/>
                <w:szCs w:val="18"/>
              </w:rPr>
              <w:t xml:space="preserve">2ª convocação: Maioria dos presentes (qualquer </w:t>
            </w:r>
            <w:proofErr w:type="gramStart"/>
            <w:r w:rsidRPr="00794EF5">
              <w:rPr>
                <w:rFonts w:ascii="Arial" w:hAnsi="Arial"/>
                <w:sz w:val="18"/>
                <w:szCs w:val="18"/>
              </w:rPr>
              <w:t>quórum)  (</w:t>
            </w:r>
            <w:proofErr w:type="gramEnd"/>
            <w:r w:rsidRPr="00794EF5">
              <w:rPr>
                <w:rFonts w:ascii="Arial" w:hAnsi="Arial"/>
                <w:sz w:val="18"/>
                <w:szCs w:val="18"/>
              </w:rPr>
              <w:t>Art.1353)</w:t>
            </w:r>
          </w:p>
        </w:tc>
      </w:tr>
      <w:tr w:rsidR="00954E02" w:rsidRPr="00794EF5" w14:paraId="27CB78FE" w14:textId="77777777" w:rsidTr="00794EF5">
        <w:trPr>
          <w:cantSplit/>
          <w:trHeight w:hRule="exact" w:val="792"/>
        </w:trPr>
        <w:tc>
          <w:tcPr>
            <w:tcW w:w="2519" w:type="dxa"/>
            <w:vMerge w:val="restart"/>
            <w:tcBorders>
              <w:top w:val="thinThickSmallGap" w:sz="24" w:space="0" w:color="auto"/>
              <w:left w:val="thinThickSmallGap" w:sz="24" w:space="0" w:color="auto"/>
              <w:bottom w:val="double" w:sz="28" w:space="0" w:color="000000"/>
            </w:tcBorders>
          </w:tcPr>
          <w:p w14:paraId="7A4FE7D4" w14:textId="77777777" w:rsidR="00954E02" w:rsidRPr="00794EF5" w:rsidRDefault="00954E02" w:rsidP="00C34546">
            <w:pPr>
              <w:snapToGrid w:val="0"/>
              <w:rPr>
                <w:rFonts w:ascii="Arial" w:hAnsi="Arial"/>
                <w:sz w:val="18"/>
                <w:szCs w:val="18"/>
              </w:rPr>
            </w:pPr>
          </w:p>
          <w:p w14:paraId="667DAECB" w14:textId="77777777" w:rsidR="00954E02" w:rsidRPr="00794EF5" w:rsidRDefault="00954E02" w:rsidP="00C34546">
            <w:pPr>
              <w:snapToGrid w:val="0"/>
              <w:rPr>
                <w:rFonts w:ascii="Arial" w:hAnsi="Arial"/>
                <w:sz w:val="18"/>
                <w:szCs w:val="18"/>
              </w:rPr>
            </w:pPr>
          </w:p>
          <w:p w14:paraId="7EA78878" w14:textId="77777777" w:rsidR="00954E02" w:rsidRPr="00794EF5" w:rsidRDefault="00954E02" w:rsidP="00C34546">
            <w:pPr>
              <w:snapToGrid w:val="0"/>
              <w:rPr>
                <w:rFonts w:ascii="Arial" w:hAnsi="Arial"/>
                <w:sz w:val="18"/>
                <w:szCs w:val="18"/>
              </w:rPr>
            </w:pPr>
            <w:r w:rsidRPr="00794EF5">
              <w:rPr>
                <w:rFonts w:ascii="Arial" w:hAnsi="Arial"/>
                <w:sz w:val="18"/>
                <w:szCs w:val="18"/>
              </w:rPr>
              <w:t>b) Especiais</w:t>
            </w:r>
          </w:p>
        </w:tc>
        <w:tc>
          <w:tcPr>
            <w:tcW w:w="5827" w:type="dxa"/>
            <w:tcBorders>
              <w:top w:val="thinThickSmallGap" w:sz="24" w:space="0" w:color="auto"/>
              <w:left w:val="single" w:sz="4" w:space="0" w:color="000000"/>
              <w:bottom w:val="single" w:sz="4" w:space="0" w:color="000000"/>
              <w:right w:val="thinThickSmallGap" w:sz="24" w:space="0" w:color="auto"/>
            </w:tcBorders>
          </w:tcPr>
          <w:p w14:paraId="7C2B64EB" w14:textId="77777777" w:rsidR="00954E02" w:rsidRPr="00794EF5" w:rsidRDefault="00954E02" w:rsidP="00C34546">
            <w:pPr>
              <w:snapToGrid w:val="0"/>
              <w:rPr>
                <w:rFonts w:ascii="Arial" w:hAnsi="Arial"/>
                <w:sz w:val="18"/>
                <w:szCs w:val="18"/>
              </w:rPr>
            </w:pPr>
            <w:r w:rsidRPr="00794EF5">
              <w:rPr>
                <w:rFonts w:ascii="Arial" w:hAnsi="Arial"/>
                <w:sz w:val="18"/>
                <w:szCs w:val="18"/>
              </w:rPr>
              <w:t xml:space="preserve">- ¼ do condomínio – p/ convocar assembléia (Art. </w:t>
            </w:r>
            <w:proofErr w:type="gramStart"/>
            <w:r w:rsidRPr="00794EF5">
              <w:rPr>
                <w:rFonts w:ascii="Arial" w:hAnsi="Arial"/>
                <w:sz w:val="18"/>
                <w:szCs w:val="18"/>
              </w:rPr>
              <w:t>1350,§</w:t>
            </w:r>
            <w:proofErr w:type="gramEnd"/>
            <w:r w:rsidRPr="00794EF5">
              <w:rPr>
                <w:rFonts w:ascii="Arial" w:hAnsi="Arial"/>
                <w:sz w:val="18"/>
                <w:szCs w:val="18"/>
              </w:rPr>
              <w:t>1º)</w:t>
            </w:r>
          </w:p>
        </w:tc>
      </w:tr>
      <w:tr w:rsidR="00954E02" w:rsidRPr="00794EF5" w14:paraId="4CB38513" w14:textId="77777777" w:rsidTr="00794EF5">
        <w:trPr>
          <w:cantSplit/>
          <w:trHeight w:hRule="exact" w:val="841"/>
        </w:trPr>
        <w:tc>
          <w:tcPr>
            <w:tcW w:w="2519" w:type="dxa"/>
            <w:vMerge/>
            <w:tcBorders>
              <w:top w:val="double" w:sz="20" w:space="0" w:color="000000"/>
              <w:left w:val="thinThickSmallGap" w:sz="24" w:space="0" w:color="auto"/>
              <w:bottom w:val="double" w:sz="28" w:space="0" w:color="000000"/>
            </w:tcBorders>
          </w:tcPr>
          <w:p w14:paraId="43ED7839" w14:textId="77777777" w:rsidR="00954E02" w:rsidRPr="00794EF5" w:rsidRDefault="00954E02" w:rsidP="00C34546">
            <w:pPr>
              <w:rPr>
                <w:sz w:val="18"/>
                <w:szCs w:val="18"/>
              </w:rPr>
            </w:pPr>
          </w:p>
        </w:tc>
        <w:tc>
          <w:tcPr>
            <w:tcW w:w="5827" w:type="dxa"/>
            <w:tcBorders>
              <w:left w:val="single" w:sz="4" w:space="0" w:color="000000"/>
              <w:bottom w:val="single" w:sz="4" w:space="0" w:color="000000"/>
              <w:right w:val="thinThickSmallGap" w:sz="24" w:space="0" w:color="auto"/>
            </w:tcBorders>
          </w:tcPr>
          <w:p w14:paraId="0829F548" w14:textId="77777777" w:rsidR="00954E02" w:rsidRPr="00794EF5" w:rsidRDefault="00954E02" w:rsidP="00C34546">
            <w:pPr>
              <w:snapToGrid w:val="0"/>
              <w:rPr>
                <w:rFonts w:ascii="Arial" w:hAnsi="Arial"/>
                <w:sz w:val="18"/>
                <w:szCs w:val="18"/>
              </w:rPr>
            </w:pPr>
            <w:r w:rsidRPr="00794EF5">
              <w:rPr>
                <w:rFonts w:ascii="Arial" w:hAnsi="Arial"/>
                <w:sz w:val="18"/>
                <w:szCs w:val="18"/>
              </w:rPr>
              <w:t>- Maioria dos presentes à assembléia – destituição do síndico (Art. 1349)</w:t>
            </w:r>
          </w:p>
        </w:tc>
      </w:tr>
      <w:tr w:rsidR="00954E02" w:rsidRPr="00794EF5" w14:paraId="714D4AEB" w14:textId="77777777" w:rsidTr="00794EF5">
        <w:trPr>
          <w:cantSplit/>
          <w:trHeight w:hRule="exact" w:val="1539"/>
        </w:trPr>
        <w:tc>
          <w:tcPr>
            <w:tcW w:w="2519" w:type="dxa"/>
            <w:vMerge/>
            <w:tcBorders>
              <w:top w:val="double" w:sz="20" w:space="0" w:color="000000"/>
              <w:left w:val="thinThickSmallGap" w:sz="24" w:space="0" w:color="auto"/>
              <w:bottom w:val="double" w:sz="28" w:space="0" w:color="000000"/>
            </w:tcBorders>
          </w:tcPr>
          <w:p w14:paraId="1E051367" w14:textId="77777777" w:rsidR="00954E02" w:rsidRPr="00794EF5" w:rsidRDefault="00954E02" w:rsidP="00C34546">
            <w:pPr>
              <w:rPr>
                <w:sz w:val="18"/>
                <w:szCs w:val="18"/>
              </w:rPr>
            </w:pPr>
          </w:p>
        </w:tc>
        <w:tc>
          <w:tcPr>
            <w:tcW w:w="5827" w:type="dxa"/>
            <w:tcBorders>
              <w:left w:val="single" w:sz="4" w:space="0" w:color="000000"/>
              <w:bottom w:val="single" w:sz="4" w:space="0" w:color="000000"/>
              <w:right w:val="thinThickSmallGap" w:sz="24" w:space="0" w:color="auto"/>
            </w:tcBorders>
          </w:tcPr>
          <w:p w14:paraId="43C626AB" w14:textId="51D1D7F4" w:rsidR="00954E02" w:rsidRPr="00794EF5" w:rsidRDefault="00954E02" w:rsidP="00C34546">
            <w:pPr>
              <w:snapToGrid w:val="0"/>
              <w:rPr>
                <w:rFonts w:ascii="Arial" w:hAnsi="Arial"/>
                <w:sz w:val="18"/>
                <w:szCs w:val="18"/>
              </w:rPr>
            </w:pPr>
            <w:r w:rsidRPr="00794EF5">
              <w:rPr>
                <w:rFonts w:ascii="Arial" w:hAnsi="Arial"/>
                <w:sz w:val="18"/>
                <w:szCs w:val="18"/>
              </w:rPr>
              <w:t>-</w:t>
            </w:r>
            <w:r w:rsidR="00C57A92">
              <w:rPr>
                <w:rFonts w:ascii="Arial" w:hAnsi="Arial"/>
                <w:sz w:val="18"/>
                <w:szCs w:val="18"/>
              </w:rPr>
              <w:t xml:space="preserve"> </w:t>
            </w:r>
            <w:r w:rsidRPr="00794EF5">
              <w:rPr>
                <w:rFonts w:ascii="Arial" w:hAnsi="Arial"/>
                <w:sz w:val="18"/>
                <w:szCs w:val="18"/>
              </w:rPr>
              <w:t>Maioria das frações ideais- (Art. 1357) reconstrução ou venda</w:t>
            </w:r>
          </w:p>
          <w:p w14:paraId="23C63634" w14:textId="77777777" w:rsidR="00954E02" w:rsidRPr="00794EF5" w:rsidRDefault="00954E02" w:rsidP="00C34546">
            <w:pPr>
              <w:snapToGrid w:val="0"/>
              <w:rPr>
                <w:rFonts w:ascii="Arial" w:hAnsi="Arial"/>
                <w:sz w:val="18"/>
                <w:szCs w:val="18"/>
              </w:rPr>
            </w:pPr>
            <w:r w:rsidRPr="00794EF5">
              <w:rPr>
                <w:rFonts w:ascii="Arial" w:hAnsi="Arial"/>
                <w:sz w:val="18"/>
                <w:szCs w:val="18"/>
              </w:rPr>
              <w:t xml:space="preserve">                                         -(Art. </w:t>
            </w:r>
            <w:proofErr w:type="gramStart"/>
            <w:r w:rsidRPr="00794EF5">
              <w:rPr>
                <w:rFonts w:ascii="Arial" w:hAnsi="Arial"/>
                <w:sz w:val="18"/>
                <w:szCs w:val="18"/>
              </w:rPr>
              <w:t>1341,II</w:t>
            </w:r>
            <w:proofErr w:type="gramEnd"/>
            <w:r w:rsidRPr="00794EF5">
              <w:rPr>
                <w:rFonts w:ascii="Arial" w:hAnsi="Arial"/>
                <w:sz w:val="18"/>
                <w:szCs w:val="18"/>
              </w:rPr>
              <w:t>) execução de obras úteis</w:t>
            </w:r>
          </w:p>
          <w:p w14:paraId="061A38B1" w14:textId="77777777" w:rsidR="00954E02" w:rsidRPr="00794EF5" w:rsidRDefault="00954E02" w:rsidP="00C34546">
            <w:pPr>
              <w:snapToGrid w:val="0"/>
              <w:rPr>
                <w:rFonts w:ascii="Arial" w:hAnsi="Arial"/>
                <w:sz w:val="18"/>
                <w:szCs w:val="18"/>
              </w:rPr>
            </w:pPr>
          </w:p>
          <w:p w14:paraId="36FDA2F0" w14:textId="77777777" w:rsidR="00954E02" w:rsidRPr="00794EF5" w:rsidRDefault="00954E02" w:rsidP="00C34546">
            <w:pPr>
              <w:snapToGrid w:val="0"/>
              <w:rPr>
                <w:rFonts w:ascii="Arial" w:hAnsi="Arial"/>
                <w:sz w:val="18"/>
                <w:szCs w:val="18"/>
              </w:rPr>
            </w:pPr>
          </w:p>
          <w:p w14:paraId="3B60935A" w14:textId="77777777" w:rsidR="00954E02" w:rsidRPr="00794EF5" w:rsidRDefault="00954E02" w:rsidP="00C34546">
            <w:pPr>
              <w:snapToGrid w:val="0"/>
              <w:rPr>
                <w:rFonts w:ascii="Arial" w:hAnsi="Arial"/>
                <w:sz w:val="18"/>
                <w:szCs w:val="18"/>
              </w:rPr>
            </w:pPr>
          </w:p>
          <w:p w14:paraId="0301A616" w14:textId="77777777" w:rsidR="00954E02" w:rsidRPr="00794EF5" w:rsidRDefault="00954E02" w:rsidP="00C34546">
            <w:pPr>
              <w:snapToGrid w:val="0"/>
              <w:rPr>
                <w:rFonts w:ascii="Arial" w:hAnsi="Arial"/>
                <w:sz w:val="18"/>
                <w:szCs w:val="18"/>
              </w:rPr>
            </w:pPr>
          </w:p>
        </w:tc>
      </w:tr>
      <w:tr w:rsidR="00954E02" w:rsidRPr="00794EF5" w14:paraId="056981F2" w14:textId="77777777" w:rsidTr="00794EF5">
        <w:trPr>
          <w:cantSplit/>
          <w:trHeight w:hRule="exact" w:val="1837"/>
        </w:trPr>
        <w:tc>
          <w:tcPr>
            <w:tcW w:w="2519" w:type="dxa"/>
            <w:vMerge/>
            <w:tcBorders>
              <w:top w:val="double" w:sz="20" w:space="0" w:color="000000"/>
              <w:left w:val="thinThickSmallGap" w:sz="24" w:space="0" w:color="auto"/>
              <w:bottom w:val="double" w:sz="28" w:space="0" w:color="000000"/>
            </w:tcBorders>
          </w:tcPr>
          <w:p w14:paraId="3D400AAA" w14:textId="77777777" w:rsidR="00954E02" w:rsidRPr="00794EF5" w:rsidRDefault="00954E02" w:rsidP="00C34546">
            <w:pPr>
              <w:rPr>
                <w:sz w:val="18"/>
                <w:szCs w:val="18"/>
              </w:rPr>
            </w:pPr>
          </w:p>
        </w:tc>
        <w:tc>
          <w:tcPr>
            <w:tcW w:w="5827" w:type="dxa"/>
            <w:tcBorders>
              <w:left w:val="single" w:sz="1" w:space="0" w:color="000000"/>
              <w:bottom w:val="single" w:sz="1" w:space="0" w:color="000000"/>
              <w:right w:val="thinThickSmallGap" w:sz="24" w:space="0" w:color="auto"/>
            </w:tcBorders>
          </w:tcPr>
          <w:p w14:paraId="5CE5FEE3" w14:textId="77777777" w:rsidR="00954E02" w:rsidRPr="00794EF5" w:rsidRDefault="00954E02" w:rsidP="00954E02">
            <w:pPr>
              <w:numPr>
                <w:ilvl w:val="0"/>
                <w:numId w:val="35"/>
              </w:numPr>
              <w:tabs>
                <w:tab w:val="left" w:pos="360"/>
              </w:tabs>
              <w:suppressAutoHyphens/>
              <w:snapToGrid w:val="0"/>
              <w:spacing w:after="0" w:line="240" w:lineRule="auto"/>
              <w:rPr>
                <w:rFonts w:ascii="Arial" w:hAnsi="Arial"/>
                <w:sz w:val="18"/>
                <w:szCs w:val="18"/>
              </w:rPr>
            </w:pPr>
            <w:r w:rsidRPr="00794EF5">
              <w:rPr>
                <w:rFonts w:ascii="Arial" w:hAnsi="Arial"/>
                <w:sz w:val="18"/>
                <w:szCs w:val="18"/>
              </w:rPr>
              <w:t>2/3 – Art. 1333 – aprovação da convenção</w:t>
            </w:r>
          </w:p>
          <w:p w14:paraId="7E703037" w14:textId="77777777" w:rsidR="00954E02" w:rsidRPr="00794EF5" w:rsidRDefault="00954E02" w:rsidP="00C34546">
            <w:pPr>
              <w:snapToGrid w:val="0"/>
              <w:ind w:left="432" w:right="-8"/>
              <w:rPr>
                <w:rFonts w:ascii="Arial" w:hAnsi="Arial"/>
                <w:sz w:val="18"/>
                <w:szCs w:val="18"/>
              </w:rPr>
            </w:pPr>
            <w:r w:rsidRPr="00794EF5">
              <w:rPr>
                <w:rFonts w:ascii="Arial" w:hAnsi="Arial"/>
                <w:sz w:val="18"/>
                <w:szCs w:val="18"/>
              </w:rPr>
              <w:t xml:space="preserve">     - Art. 1351, §1º – alteração da convenção</w:t>
            </w:r>
          </w:p>
          <w:p w14:paraId="30F6A172" w14:textId="77777777" w:rsidR="00954E02" w:rsidRPr="00794EF5" w:rsidRDefault="00954E02" w:rsidP="00C34546">
            <w:pPr>
              <w:snapToGrid w:val="0"/>
              <w:ind w:left="432" w:right="-8"/>
              <w:rPr>
                <w:rFonts w:ascii="Arial" w:hAnsi="Arial"/>
                <w:sz w:val="18"/>
                <w:szCs w:val="18"/>
              </w:rPr>
            </w:pPr>
            <w:r w:rsidRPr="00794EF5">
              <w:rPr>
                <w:rFonts w:ascii="Arial" w:hAnsi="Arial"/>
                <w:sz w:val="18"/>
                <w:szCs w:val="18"/>
              </w:rPr>
              <w:t xml:space="preserve">     - Art. 1336, §2º – aplicação de multa</w:t>
            </w:r>
          </w:p>
          <w:p w14:paraId="009C68D0" w14:textId="77777777" w:rsidR="00954E02" w:rsidRPr="00794EF5" w:rsidRDefault="00954E02" w:rsidP="00C34546">
            <w:pPr>
              <w:snapToGrid w:val="0"/>
              <w:ind w:left="432" w:right="-8"/>
              <w:rPr>
                <w:rFonts w:ascii="Arial" w:hAnsi="Arial"/>
                <w:sz w:val="18"/>
                <w:szCs w:val="18"/>
              </w:rPr>
            </w:pPr>
            <w:r w:rsidRPr="00794EF5">
              <w:rPr>
                <w:rFonts w:ascii="Arial" w:hAnsi="Arial"/>
                <w:sz w:val="18"/>
                <w:szCs w:val="18"/>
              </w:rPr>
              <w:t xml:space="preserve">     - Art. 1341, I – execução de obras voluptuárias</w:t>
            </w:r>
          </w:p>
          <w:p w14:paraId="0B6D913D" w14:textId="77777777" w:rsidR="00954E02" w:rsidRPr="00794EF5" w:rsidRDefault="00954E02" w:rsidP="00C34546">
            <w:pPr>
              <w:snapToGrid w:val="0"/>
              <w:ind w:left="432" w:right="-8"/>
              <w:rPr>
                <w:rFonts w:ascii="Arial" w:hAnsi="Arial"/>
                <w:sz w:val="18"/>
                <w:szCs w:val="18"/>
              </w:rPr>
            </w:pPr>
            <w:r w:rsidRPr="00794EF5">
              <w:rPr>
                <w:rFonts w:ascii="Arial" w:hAnsi="Arial"/>
                <w:sz w:val="18"/>
                <w:szCs w:val="18"/>
              </w:rPr>
              <w:t xml:space="preserve">     - Art. 1342 – realização de obras em partes comuns</w:t>
            </w:r>
          </w:p>
        </w:tc>
      </w:tr>
      <w:tr w:rsidR="00954E02" w:rsidRPr="00794EF5" w14:paraId="7FB261BC" w14:textId="77777777" w:rsidTr="00C57A92">
        <w:trPr>
          <w:cantSplit/>
          <w:trHeight w:hRule="exact" w:val="772"/>
        </w:trPr>
        <w:tc>
          <w:tcPr>
            <w:tcW w:w="2519" w:type="dxa"/>
            <w:vMerge/>
            <w:tcBorders>
              <w:top w:val="double" w:sz="20" w:space="0" w:color="000000"/>
              <w:left w:val="thinThickSmallGap" w:sz="24" w:space="0" w:color="auto"/>
              <w:bottom w:val="double" w:sz="28" w:space="0" w:color="000000"/>
            </w:tcBorders>
          </w:tcPr>
          <w:p w14:paraId="3BAAC30B" w14:textId="77777777" w:rsidR="00954E02" w:rsidRPr="00794EF5" w:rsidRDefault="00954E02" w:rsidP="00C34546">
            <w:pPr>
              <w:rPr>
                <w:sz w:val="18"/>
                <w:szCs w:val="18"/>
              </w:rPr>
            </w:pPr>
          </w:p>
        </w:tc>
        <w:tc>
          <w:tcPr>
            <w:tcW w:w="5827" w:type="dxa"/>
            <w:tcBorders>
              <w:left w:val="single" w:sz="1" w:space="0" w:color="000000"/>
              <w:bottom w:val="single" w:sz="1" w:space="0" w:color="000000"/>
              <w:right w:val="thinThickSmallGap" w:sz="24" w:space="0" w:color="auto"/>
            </w:tcBorders>
          </w:tcPr>
          <w:p w14:paraId="21D64C58" w14:textId="77777777" w:rsidR="00C57A92" w:rsidRDefault="00C57A92" w:rsidP="00C57A92">
            <w:pPr>
              <w:suppressAutoHyphens/>
              <w:snapToGrid w:val="0"/>
              <w:spacing w:after="0" w:line="240" w:lineRule="auto"/>
              <w:rPr>
                <w:rFonts w:ascii="Arial" w:hAnsi="Arial"/>
                <w:sz w:val="18"/>
                <w:szCs w:val="18"/>
              </w:rPr>
            </w:pPr>
          </w:p>
          <w:p w14:paraId="21095FF1" w14:textId="48107904" w:rsidR="00954E02" w:rsidRPr="00794EF5" w:rsidRDefault="00C57A92" w:rsidP="00C57A92">
            <w:pPr>
              <w:suppressAutoHyphens/>
              <w:snapToGrid w:val="0"/>
              <w:spacing w:after="0" w:line="240" w:lineRule="auto"/>
              <w:rPr>
                <w:rFonts w:ascii="Arial" w:hAnsi="Arial"/>
                <w:sz w:val="18"/>
                <w:szCs w:val="18"/>
              </w:rPr>
            </w:pPr>
            <w:r>
              <w:rPr>
                <w:rFonts w:ascii="Arial" w:hAnsi="Arial"/>
                <w:sz w:val="18"/>
                <w:szCs w:val="18"/>
              </w:rPr>
              <w:t xml:space="preserve">- </w:t>
            </w:r>
            <w:proofErr w:type="gramStart"/>
            <w:r w:rsidR="00954E02" w:rsidRPr="00794EF5">
              <w:rPr>
                <w:rFonts w:ascii="Arial" w:hAnsi="Arial"/>
                <w:sz w:val="18"/>
                <w:szCs w:val="18"/>
              </w:rPr>
              <w:t>¾  -</w:t>
            </w:r>
            <w:proofErr w:type="gramEnd"/>
            <w:r w:rsidR="00954E02" w:rsidRPr="00794EF5">
              <w:rPr>
                <w:rFonts w:ascii="Arial" w:hAnsi="Arial"/>
                <w:sz w:val="18"/>
                <w:szCs w:val="18"/>
              </w:rPr>
              <w:t xml:space="preserve"> Art. 1337 – penalidade</w:t>
            </w:r>
          </w:p>
        </w:tc>
      </w:tr>
      <w:tr w:rsidR="00954E02" w:rsidRPr="00794EF5" w14:paraId="785CF7B2" w14:textId="77777777" w:rsidTr="00794EF5">
        <w:trPr>
          <w:cantSplit/>
          <w:trHeight w:val="739"/>
        </w:trPr>
        <w:tc>
          <w:tcPr>
            <w:tcW w:w="2519" w:type="dxa"/>
            <w:vMerge/>
            <w:tcBorders>
              <w:top w:val="double" w:sz="20" w:space="0" w:color="000000"/>
              <w:left w:val="thinThickSmallGap" w:sz="24" w:space="0" w:color="auto"/>
              <w:bottom w:val="thinThickSmallGap" w:sz="24" w:space="0" w:color="auto"/>
            </w:tcBorders>
          </w:tcPr>
          <w:p w14:paraId="795C6A8C" w14:textId="77777777" w:rsidR="00954E02" w:rsidRPr="00794EF5" w:rsidRDefault="00954E02" w:rsidP="00C34546">
            <w:pPr>
              <w:rPr>
                <w:sz w:val="18"/>
                <w:szCs w:val="18"/>
              </w:rPr>
            </w:pPr>
          </w:p>
        </w:tc>
        <w:tc>
          <w:tcPr>
            <w:tcW w:w="5827" w:type="dxa"/>
            <w:tcBorders>
              <w:left w:val="single" w:sz="4" w:space="0" w:color="000000"/>
              <w:bottom w:val="thinThickSmallGap" w:sz="24" w:space="0" w:color="auto"/>
              <w:right w:val="thinThickSmallGap" w:sz="24" w:space="0" w:color="auto"/>
            </w:tcBorders>
          </w:tcPr>
          <w:p w14:paraId="6970636F" w14:textId="1806A417" w:rsidR="00954E02" w:rsidRPr="00794EF5" w:rsidRDefault="00954E02" w:rsidP="00C34546">
            <w:pPr>
              <w:tabs>
                <w:tab w:val="left" w:pos="-120"/>
                <w:tab w:val="left" w:pos="-60"/>
                <w:tab w:val="left" w:pos="-40"/>
                <w:tab w:val="left" w:pos="-20"/>
              </w:tabs>
              <w:snapToGrid w:val="0"/>
              <w:ind w:right="-8"/>
              <w:rPr>
                <w:rFonts w:ascii="Arial" w:hAnsi="Arial"/>
                <w:sz w:val="18"/>
                <w:szCs w:val="18"/>
              </w:rPr>
            </w:pPr>
            <w:r w:rsidRPr="00794EF5">
              <w:rPr>
                <w:rFonts w:ascii="Arial" w:hAnsi="Arial"/>
                <w:sz w:val="18"/>
                <w:szCs w:val="18"/>
              </w:rPr>
              <w:t>-</w:t>
            </w:r>
            <w:r w:rsidR="00C57A92">
              <w:rPr>
                <w:rFonts w:ascii="Arial" w:hAnsi="Arial"/>
                <w:sz w:val="18"/>
                <w:szCs w:val="18"/>
              </w:rPr>
              <w:t xml:space="preserve"> </w:t>
            </w:r>
            <w:r w:rsidRPr="00794EF5">
              <w:rPr>
                <w:rFonts w:ascii="Arial" w:hAnsi="Arial"/>
                <w:sz w:val="18"/>
                <w:szCs w:val="18"/>
              </w:rPr>
              <w:t>Unânime – Art. 1351, 2ª parte – mudar a destinação</w:t>
            </w:r>
          </w:p>
          <w:p w14:paraId="17A38CCB" w14:textId="77777777" w:rsidR="00954E02" w:rsidRPr="00794EF5" w:rsidRDefault="00954E02" w:rsidP="00C34546">
            <w:pPr>
              <w:snapToGrid w:val="0"/>
              <w:ind w:left="272" w:right="-8"/>
              <w:rPr>
                <w:rFonts w:ascii="Arial" w:hAnsi="Arial"/>
                <w:sz w:val="18"/>
                <w:szCs w:val="18"/>
              </w:rPr>
            </w:pPr>
            <w:r w:rsidRPr="00794EF5">
              <w:rPr>
                <w:rFonts w:ascii="Arial" w:hAnsi="Arial"/>
                <w:sz w:val="18"/>
                <w:szCs w:val="18"/>
              </w:rPr>
              <w:t xml:space="preserve">                - Art. 1343   - construção de outro pavimento</w:t>
            </w:r>
          </w:p>
        </w:tc>
      </w:tr>
    </w:tbl>
    <w:p w14:paraId="21977176" w14:textId="77777777" w:rsidR="00954E02" w:rsidRPr="00794EF5" w:rsidRDefault="00954E02" w:rsidP="00954E02">
      <w:pPr>
        <w:rPr>
          <w:rFonts w:ascii="Arial" w:hAnsi="Arial"/>
          <w:b/>
          <w:bCs/>
          <w:sz w:val="18"/>
          <w:szCs w:val="18"/>
        </w:rPr>
      </w:pPr>
      <w:r w:rsidRPr="00794EF5">
        <w:rPr>
          <w:rFonts w:ascii="Arial" w:hAnsi="Arial"/>
          <w:b/>
          <w:bCs/>
          <w:sz w:val="18"/>
          <w:szCs w:val="18"/>
        </w:rPr>
        <w:t xml:space="preserve">                                     </w:t>
      </w:r>
    </w:p>
    <w:p w14:paraId="49E870D7" w14:textId="77777777" w:rsidR="00954E02" w:rsidRPr="00794EF5" w:rsidRDefault="00954E02" w:rsidP="00954E02">
      <w:pPr>
        <w:jc w:val="center"/>
        <w:rPr>
          <w:rFonts w:ascii="Arial" w:hAnsi="Arial"/>
          <w:b/>
          <w:bCs/>
          <w:caps/>
          <w:sz w:val="18"/>
          <w:szCs w:val="18"/>
          <w:u w:val="single"/>
        </w:rPr>
      </w:pPr>
      <w:r w:rsidRPr="00794EF5">
        <w:rPr>
          <w:rFonts w:ascii="Arial" w:hAnsi="Arial"/>
          <w:b/>
          <w:bCs/>
          <w:caps/>
          <w:sz w:val="18"/>
          <w:szCs w:val="18"/>
          <w:u w:val="single"/>
        </w:rPr>
        <w:t>Sanções:</w:t>
      </w:r>
    </w:p>
    <w:p w14:paraId="753DD20D" w14:textId="77777777" w:rsidR="00954E02" w:rsidRPr="00794EF5" w:rsidRDefault="00954E02" w:rsidP="00954E02">
      <w:pPr>
        <w:jc w:val="center"/>
        <w:rPr>
          <w:rFonts w:ascii="Arial" w:hAnsi="Arial"/>
          <w:b/>
          <w:bCs/>
          <w:caps/>
          <w:sz w:val="18"/>
          <w:szCs w:val="18"/>
          <w:u w:val="single"/>
        </w:rPr>
      </w:pPr>
    </w:p>
    <w:tbl>
      <w:tblPr>
        <w:tblW w:w="8326" w:type="dxa"/>
        <w:tblInd w:w="134" w:type="dxa"/>
        <w:tblLayout w:type="fixed"/>
        <w:tblLook w:val="0000" w:firstRow="0" w:lastRow="0" w:firstColumn="0" w:lastColumn="0" w:noHBand="0" w:noVBand="0"/>
      </w:tblPr>
      <w:tblGrid>
        <w:gridCol w:w="2499"/>
        <w:gridCol w:w="5827"/>
      </w:tblGrid>
      <w:tr w:rsidR="00954E02" w:rsidRPr="00794EF5" w14:paraId="4C37D175" w14:textId="77777777" w:rsidTr="00794EF5">
        <w:trPr>
          <w:cantSplit/>
          <w:trHeight w:hRule="exact" w:val="575"/>
        </w:trPr>
        <w:tc>
          <w:tcPr>
            <w:tcW w:w="2499" w:type="dxa"/>
            <w:vMerge w:val="restart"/>
            <w:tcBorders>
              <w:top w:val="thinThickSmallGap" w:sz="24" w:space="0" w:color="auto"/>
              <w:left w:val="thickThinSmallGap" w:sz="24" w:space="0" w:color="auto"/>
              <w:bottom w:val="double" w:sz="28" w:space="0" w:color="000000"/>
            </w:tcBorders>
          </w:tcPr>
          <w:p w14:paraId="5FB036C7" w14:textId="77777777" w:rsidR="00954E02" w:rsidRPr="00794EF5" w:rsidRDefault="00954E02" w:rsidP="00C34546">
            <w:pPr>
              <w:snapToGrid w:val="0"/>
              <w:rPr>
                <w:rFonts w:ascii="Arial" w:hAnsi="Arial"/>
                <w:sz w:val="18"/>
                <w:szCs w:val="18"/>
              </w:rPr>
            </w:pPr>
          </w:p>
          <w:p w14:paraId="06326C74" w14:textId="77777777" w:rsidR="00954E02" w:rsidRPr="00794EF5" w:rsidRDefault="00954E02" w:rsidP="00C34546">
            <w:pPr>
              <w:snapToGrid w:val="0"/>
              <w:rPr>
                <w:rFonts w:ascii="Arial" w:hAnsi="Arial"/>
                <w:sz w:val="18"/>
                <w:szCs w:val="18"/>
              </w:rPr>
            </w:pPr>
          </w:p>
          <w:p w14:paraId="577750CB" w14:textId="77777777" w:rsidR="00954E02" w:rsidRPr="00794EF5" w:rsidRDefault="00954E02" w:rsidP="00C34546">
            <w:pPr>
              <w:snapToGrid w:val="0"/>
              <w:rPr>
                <w:rFonts w:ascii="Arial" w:hAnsi="Arial"/>
                <w:sz w:val="18"/>
                <w:szCs w:val="18"/>
              </w:rPr>
            </w:pPr>
            <w:r w:rsidRPr="00794EF5">
              <w:rPr>
                <w:rFonts w:ascii="Arial" w:hAnsi="Arial"/>
                <w:sz w:val="18"/>
                <w:szCs w:val="18"/>
              </w:rPr>
              <w:t>Inadimplência</w:t>
            </w:r>
          </w:p>
          <w:p w14:paraId="17634D7F" w14:textId="77777777" w:rsidR="00954E02" w:rsidRPr="00794EF5" w:rsidRDefault="00954E02" w:rsidP="00C34546">
            <w:pPr>
              <w:snapToGrid w:val="0"/>
              <w:rPr>
                <w:rFonts w:ascii="Arial" w:hAnsi="Arial"/>
                <w:sz w:val="18"/>
                <w:szCs w:val="18"/>
              </w:rPr>
            </w:pPr>
            <w:r w:rsidRPr="00794EF5">
              <w:rPr>
                <w:rFonts w:ascii="Arial" w:hAnsi="Arial"/>
                <w:sz w:val="18"/>
                <w:szCs w:val="18"/>
              </w:rPr>
              <w:t>Art. 1336, § 1º</w:t>
            </w:r>
          </w:p>
        </w:tc>
        <w:tc>
          <w:tcPr>
            <w:tcW w:w="5827" w:type="dxa"/>
            <w:tcBorders>
              <w:top w:val="thinThickSmallGap" w:sz="24" w:space="0" w:color="auto"/>
              <w:left w:val="single" w:sz="4" w:space="0" w:color="000000"/>
              <w:bottom w:val="single" w:sz="4" w:space="0" w:color="000000"/>
              <w:right w:val="thinThickSmallGap" w:sz="24" w:space="0" w:color="auto"/>
            </w:tcBorders>
          </w:tcPr>
          <w:p w14:paraId="57A0BB21" w14:textId="77777777" w:rsidR="00954E02" w:rsidRPr="00794EF5" w:rsidRDefault="00954E02" w:rsidP="00C34546">
            <w:pPr>
              <w:snapToGrid w:val="0"/>
              <w:rPr>
                <w:rFonts w:ascii="Arial" w:hAnsi="Arial"/>
                <w:sz w:val="18"/>
                <w:szCs w:val="18"/>
              </w:rPr>
            </w:pPr>
            <w:r w:rsidRPr="00794EF5">
              <w:rPr>
                <w:rFonts w:ascii="Arial" w:hAnsi="Arial"/>
                <w:sz w:val="18"/>
                <w:szCs w:val="18"/>
              </w:rPr>
              <w:t>- 2% - multa moratória</w:t>
            </w:r>
          </w:p>
        </w:tc>
      </w:tr>
      <w:tr w:rsidR="00954E02" w:rsidRPr="00794EF5" w14:paraId="2DFC1EFA" w14:textId="77777777" w:rsidTr="00794EF5">
        <w:trPr>
          <w:cantSplit/>
          <w:trHeight w:hRule="exact" w:val="845"/>
        </w:trPr>
        <w:tc>
          <w:tcPr>
            <w:tcW w:w="2499" w:type="dxa"/>
            <w:vMerge/>
            <w:tcBorders>
              <w:top w:val="double" w:sz="20" w:space="0" w:color="000000"/>
              <w:left w:val="thickThinSmallGap" w:sz="24" w:space="0" w:color="auto"/>
              <w:bottom w:val="double" w:sz="28" w:space="0" w:color="000000"/>
            </w:tcBorders>
          </w:tcPr>
          <w:p w14:paraId="146B41A2" w14:textId="77777777" w:rsidR="00954E02" w:rsidRPr="00794EF5" w:rsidRDefault="00954E02" w:rsidP="00C34546">
            <w:pPr>
              <w:rPr>
                <w:sz w:val="18"/>
                <w:szCs w:val="18"/>
              </w:rPr>
            </w:pPr>
          </w:p>
        </w:tc>
        <w:tc>
          <w:tcPr>
            <w:tcW w:w="5827" w:type="dxa"/>
            <w:tcBorders>
              <w:left w:val="single" w:sz="4" w:space="0" w:color="000000"/>
              <w:bottom w:val="single" w:sz="4" w:space="0" w:color="000000"/>
              <w:right w:val="thinThickSmallGap" w:sz="24" w:space="0" w:color="auto"/>
            </w:tcBorders>
          </w:tcPr>
          <w:p w14:paraId="71C1AC4E" w14:textId="77777777" w:rsidR="00954E02" w:rsidRPr="00794EF5" w:rsidRDefault="00954E02" w:rsidP="00C34546">
            <w:pPr>
              <w:snapToGrid w:val="0"/>
              <w:rPr>
                <w:rFonts w:ascii="Arial" w:hAnsi="Arial"/>
                <w:sz w:val="18"/>
                <w:szCs w:val="18"/>
              </w:rPr>
            </w:pPr>
            <w:r w:rsidRPr="00794EF5">
              <w:rPr>
                <w:rFonts w:ascii="Arial" w:hAnsi="Arial"/>
                <w:sz w:val="18"/>
                <w:szCs w:val="18"/>
              </w:rPr>
              <w:t>- 1</w:t>
            </w:r>
            <w:proofErr w:type="gramStart"/>
            <w:r w:rsidRPr="00794EF5">
              <w:rPr>
                <w:rFonts w:ascii="Arial" w:hAnsi="Arial"/>
                <w:sz w:val="18"/>
                <w:szCs w:val="18"/>
              </w:rPr>
              <w:t>%  ao</w:t>
            </w:r>
            <w:proofErr w:type="gramEnd"/>
            <w:r w:rsidRPr="00794EF5">
              <w:rPr>
                <w:rFonts w:ascii="Arial" w:hAnsi="Arial"/>
                <w:sz w:val="18"/>
                <w:szCs w:val="18"/>
              </w:rPr>
              <w:t xml:space="preserve"> mês - juros</w:t>
            </w:r>
          </w:p>
        </w:tc>
      </w:tr>
      <w:tr w:rsidR="00954E02" w:rsidRPr="00794EF5" w14:paraId="743C0960" w14:textId="77777777" w:rsidTr="00794EF5">
        <w:trPr>
          <w:cantSplit/>
        </w:trPr>
        <w:tc>
          <w:tcPr>
            <w:tcW w:w="2499" w:type="dxa"/>
            <w:vMerge/>
            <w:tcBorders>
              <w:top w:val="double" w:sz="20" w:space="0" w:color="000000"/>
              <w:left w:val="thickThinSmallGap" w:sz="24" w:space="0" w:color="auto"/>
              <w:bottom w:val="double" w:sz="28" w:space="0" w:color="000000"/>
            </w:tcBorders>
          </w:tcPr>
          <w:p w14:paraId="3C3D335D" w14:textId="77777777" w:rsidR="00954E02" w:rsidRPr="00794EF5" w:rsidRDefault="00954E02" w:rsidP="00C34546">
            <w:pPr>
              <w:rPr>
                <w:sz w:val="18"/>
                <w:szCs w:val="18"/>
              </w:rPr>
            </w:pPr>
          </w:p>
        </w:tc>
        <w:tc>
          <w:tcPr>
            <w:tcW w:w="5827" w:type="dxa"/>
            <w:tcBorders>
              <w:left w:val="single" w:sz="4" w:space="0" w:color="000000"/>
              <w:bottom w:val="double" w:sz="28" w:space="0" w:color="000000"/>
              <w:right w:val="thinThickSmallGap" w:sz="24" w:space="0" w:color="auto"/>
            </w:tcBorders>
          </w:tcPr>
          <w:p w14:paraId="12E848C3" w14:textId="77777777" w:rsidR="00954E02" w:rsidRPr="00794EF5" w:rsidRDefault="00954E02" w:rsidP="00C34546">
            <w:pPr>
              <w:snapToGrid w:val="0"/>
              <w:rPr>
                <w:rFonts w:ascii="Arial" w:hAnsi="Arial"/>
                <w:sz w:val="18"/>
                <w:szCs w:val="18"/>
              </w:rPr>
            </w:pPr>
            <w:r w:rsidRPr="00794EF5">
              <w:rPr>
                <w:rFonts w:ascii="Arial" w:hAnsi="Arial"/>
                <w:sz w:val="18"/>
                <w:szCs w:val="18"/>
              </w:rPr>
              <w:t xml:space="preserve">- </w:t>
            </w:r>
            <w:proofErr w:type="gramStart"/>
            <w:r w:rsidRPr="00794EF5">
              <w:rPr>
                <w:rFonts w:ascii="Arial" w:hAnsi="Arial"/>
                <w:sz w:val="18"/>
                <w:szCs w:val="18"/>
              </w:rPr>
              <w:t>correção</w:t>
            </w:r>
            <w:proofErr w:type="gramEnd"/>
            <w:r w:rsidRPr="00794EF5">
              <w:rPr>
                <w:rFonts w:ascii="Arial" w:hAnsi="Arial"/>
                <w:sz w:val="18"/>
                <w:szCs w:val="18"/>
              </w:rPr>
              <w:t xml:space="preserve"> monetária</w:t>
            </w:r>
          </w:p>
        </w:tc>
      </w:tr>
      <w:tr w:rsidR="00954E02" w:rsidRPr="00794EF5" w14:paraId="2DA217A7" w14:textId="77777777" w:rsidTr="00794EF5">
        <w:trPr>
          <w:cantSplit/>
          <w:trHeight w:hRule="exact" w:val="1204"/>
        </w:trPr>
        <w:tc>
          <w:tcPr>
            <w:tcW w:w="2499" w:type="dxa"/>
            <w:tcBorders>
              <w:top w:val="thickThinSmallGap" w:sz="24" w:space="0" w:color="auto"/>
              <w:left w:val="thinThickSmallGap" w:sz="24" w:space="0" w:color="auto"/>
              <w:bottom w:val="double" w:sz="28" w:space="0" w:color="000000"/>
            </w:tcBorders>
          </w:tcPr>
          <w:p w14:paraId="3E408BFB" w14:textId="77777777" w:rsidR="00954E02" w:rsidRPr="00794EF5" w:rsidRDefault="00954E02" w:rsidP="00C34546">
            <w:pPr>
              <w:snapToGrid w:val="0"/>
              <w:rPr>
                <w:rFonts w:ascii="Arial" w:hAnsi="Arial"/>
                <w:sz w:val="18"/>
                <w:szCs w:val="18"/>
              </w:rPr>
            </w:pPr>
          </w:p>
          <w:p w14:paraId="4D46E96F" w14:textId="77777777" w:rsidR="00954E02" w:rsidRPr="00794EF5" w:rsidRDefault="00954E02" w:rsidP="00C34546">
            <w:pPr>
              <w:snapToGrid w:val="0"/>
              <w:rPr>
                <w:rFonts w:ascii="Arial" w:hAnsi="Arial"/>
                <w:sz w:val="18"/>
                <w:szCs w:val="18"/>
              </w:rPr>
            </w:pPr>
            <w:r w:rsidRPr="00794EF5">
              <w:rPr>
                <w:rFonts w:ascii="Arial" w:hAnsi="Arial"/>
                <w:sz w:val="18"/>
                <w:szCs w:val="18"/>
              </w:rPr>
              <w:t>Até 5 vezes a cota condominial</w:t>
            </w:r>
          </w:p>
        </w:tc>
        <w:tc>
          <w:tcPr>
            <w:tcW w:w="5827" w:type="dxa"/>
            <w:tcBorders>
              <w:top w:val="thickThinSmallGap" w:sz="24" w:space="0" w:color="auto"/>
              <w:left w:val="single" w:sz="4" w:space="0" w:color="000000"/>
              <w:bottom w:val="single" w:sz="4" w:space="0" w:color="000000"/>
              <w:right w:val="thinThickSmallGap" w:sz="24" w:space="0" w:color="auto"/>
            </w:tcBorders>
          </w:tcPr>
          <w:p w14:paraId="34762B94" w14:textId="77777777" w:rsidR="00954E02" w:rsidRPr="00794EF5" w:rsidRDefault="00954E02" w:rsidP="00C34546">
            <w:pPr>
              <w:snapToGrid w:val="0"/>
              <w:rPr>
                <w:rFonts w:ascii="Arial" w:hAnsi="Arial"/>
                <w:sz w:val="18"/>
                <w:szCs w:val="18"/>
              </w:rPr>
            </w:pPr>
          </w:p>
          <w:p w14:paraId="3472A7F4" w14:textId="5816957B" w:rsidR="00954E02" w:rsidRPr="00794EF5" w:rsidRDefault="00954E02" w:rsidP="00C34546">
            <w:pPr>
              <w:snapToGrid w:val="0"/>
              <w:rPr>
                <w:rFonts w:ascii="Arial" w:hAnsi="Arial"/>
                <w:sz w:val="18"/>
                <w:szCs w:val="18"/>
              </w:rPr>
            </w:pPr>
            <w:r w:rsidRPr="00794EF5">
              <w:rPr>
                <w:rFonts w:ascii="Arial" w:hAnsi="Arial"/>
                <w:sz w:val="18"/>
                <w:szCs w:val="18"/>
              </w:rPr>
              <w:t xml:space="preserve">- </w:t>
            </w:r>
            <w:proofErr w:type="gramStart"/>
            <w:r w:rsidRPr="00794EF5">
              <w:rPr>
                <w:rFonts w:ascii="Arial" w:hAnsi="Arial"/>
                <w:sz w:val="18"/>
                <w:szCs w:val="18"/>
              </w:rPr>
              <w:t>infração</w:t>
            </w:r>
            <w:proofErr w:type="gramEnd"/>
            <w:r w:rsidRPr="00794EF5">
              <w:rPr>
                <w:rFonts w:ascii="Arial" w:hAnsi="Arial"/>
                <w:sz w:val="18"/>
                <w:szCs w:val="18"/>
              </w:rPr>
              <w:t xml:space="preserve"> dos incisos II, III e IV Art. 1336</w:t>
            </w:r>
          </w:p>
        </w:tc>
      </w:tr>
      <w:tr w:rsidR="00954E02" w:rsidRPr="00794EF5" w14:paraId="2C5FC02A" w14:textId="77777777" w:rsidTr="00794EF5">
        <w:trPr>
          <w:cantSplit/>
          <w:trHeight w:hRule="exact" w:val="1424"/>
        </w:trPr>
        <w:tc>
          <w:tcPr>
            <w:tcW w:w="2499" w:type="dxa"/>
            <w:tcBorders>
              <w:top w:val="thinThickSmallGap" w:sz="24" w:space="0" w:color="auto"/>
              <w:left w:val="thinThickSmallGap" w:sz="24" w:space="0" w:color="auto"/>
              <w:bottom w:val="thinThickSmallGap" w:sz="24" w:space="0" w:color="auto"/>
            </w:tcBorders>
          </w:tcPr>
          <w:p w14:paraId="3E723D9B" w14:textId="77777777" w:rsidR="00954E02" w:rsidRPr="00794EF5" w:rsidRDefault="00954E02" w:rsidP="00C34546">
            <w:pPr>
              <w:snapToGrid w:val="0"/>
              <w:rPr>
                <w:rFonts w:ascii="Arial" w:hAnsi="Arial"/>
                <w:sz w:val="18"/>
                <w:szCs w:val="18"/>
              </w:rPr>
            </w:pPr>
          </w:p>
          <w:p w14:paraId="3FB23847" w14:textId="77777777" w:rsidR="00954E02" w:rsidRPr="00794EF5" w:rsidRDefault="00954E02" w:rsidP="00C34546">
            <w:pPr>
              <w:snapToGrid w:val="0"/>
              <w:rPr>
                <w:rFonts w:ascii="Arial" w:hAnsi="Arial"/>
                <w:sz w:val="18"/>
                <w:szCs w:val="18"/>
              </w:rPr>
            </w:pPr>
            <w:r w:rsidRPr="00794EF5">
              <w:rPr>
                <w:rFonts w:ascii="Arial" w:hAnsi="Arial"/>
                <w:sz w:val="18"/>
                <w:szCs w:val="18"/>
              </w:rPr>
              <w:t>Até 10 vezes a cota condominial</w:t>
            </w:r>
          </w:p>
        </w:tc>
        <w:tc>
          <w:tcPr>
            <w:tcW w:w="5827" w:type="dxa"/>
            <w:tcBorders>
              <w:top w:val="thinThickSmallGap" w:sz="24" w:space="0" w:color="auto"/>
              <w:left w:val="single" w:sz="4" w:space="0" w:color="000000"/>
              <w:bottom w:val="thinThickSmallGap" w:sz="24" w:space="0" w:color="auto"/>
              <w:right w:val="thinThickSmallGap" w:sz="24" w:space="0" w:color="auto"/>
            </w:tcBorders>
          </w:tcPr>
          <w:p w14:paraId="3325D4E2" w14:textId="77777777" w:rsidR="00954E02" w:rsidRPr="00794EF5" w:rsidRDefault="00954E02" w:rsidP="00C34546">
            <w:pPr>
              <w:snapToGrid w:val="0"/>
              <w:rPr>
                <w:rFonts w:ascii="Arial" w:hAnsi="Arial"/>
                <w:sz w:val="18"/>
                <w:szCs w:val="18"/>
              </w:rPr>
            </w:pPr>
          </w:p>
          <w:p w14:paraId="4D64BAD1" w14:textId="1B3A87BC" w:rsidR="00954E02" w:rsidRPr="00794EF5" w:rsidRDefault="00954E02" w:rsidP="00C34546">
            <w:pPr>
              <w:snapToGrid w:val="0"/>
              <w:rPr>
                <w:rFonts w:ascii="Arial" w:hAnsi="Arial"/>
                <w:sz w:val="18"/>
                <w:szCs w:val="18"/>
              </w:rPr>
            </w:pPr>
            <w:r w:rsidRPr="00794EF5">
              <w:rPr>
                <w:rFonts w:ascii="Arial" w:hAnsi="Arial"/>
                <w:sz w:val="18"/>
                <w:szCs w:val="18"/>
              </w:rPr>
              <w:t xml:space="preserve">- </w:t>
            </w:r>
            <w:proofErr w:type="gramStart"/>
            <w:r w:rsidRPr="00794EF5">
              <w:rPr>
                <w:rFonts w:ascii="Arial" w:hAnsi="Arial"/>
                <w:sz w:val="18"/>
                <w:szCs w:val="18"/>
              </w:rPr>
              <w:t>comportamento</w:t>
            </w:r>
            <w:proofErr w:type="gramEnd"/>
            <w:r w:rsidRPr="00794EF5">
              <w:rPr>
                <w:rFonts w:ascii="Arial" w:hAnsi="Arial"/>
                <w:sz w:val="18"/>
                <w:szCs w:val="18"/>
              </w:rPr>
              <w:t xml:space="preserve"> antissocial - § único, Art.1337</w:t>
            </w:r>
          </w:p>
        </w:tc>
      </w:tr>
    </w:tbl>
    <w:p w14:paraId="705BD5BC" w14:textId="77777777" w:rsidR="00954E02" w:rsidRPr="00794EF5" w:rsidRDefault="00954E02" w:rsidP="00954E02">
      <w:pPr>
        <w:rPr>
          <w:sz w:val="18"/>
          <w:szCs w:val="18"/>
        </w:rPr>
      </w:pPr>
    </w:p>
    <w:sectPr w:rsidR="00954E02" w:rsidRPr="00794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3451EA6"/>
    <w:multiLevelType w:val="multilevel"/>
    <w:tmpl w:val="E5242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52397"/>
    <w:multiLevelType w:val="multilevel"/>
    <w:tmpl w:val="3488A9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B2881"/>
    <w:multiLevelType w:val="multilevel"/>
    <w:tmpl w:val="48D6CF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E4C40"/>
    <w:multiLevelType w:val="multilevel"/>
    <w:tmpl w:val="CFEA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A58EB"/>
    <w:multiLevelType w:val="multilevel"/>
    <w:tmpl w:val="FA149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D46A7"/>
    <w:multiLevelType w:val="multilevel"/>
    <w:tmpl w:val="71AEB0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C43"/>
    <w:multiLevelType w:val="multilevel"/>
    <w:tmpl w:val="4E7EC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06274"/>
    <w:multiLevelType w:val="multilevel"/>
    <w:tmpl w:val="A7BEB3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012B3"/>
    <w:multiLevelType w:val="multilevel"/>
    <w:tmpl w:val="01DE13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23BEE"/>
    <w:multiLevelType w:val="multilevel"/>
    <w:tmpl w:val="CFD24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E5F52"/>
    <w:multiLevelType w:val="multilevel"/>
    <w:tmpl w:val="0E6C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C3BA6"/>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63257"/>
    <w:multiLevelType w:val="multilevel"/>
    <w:tmpl w:val="F1CC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31322"/>
    <w:multiLevelType w:val="multilevel"/>
    <w:tmpl w:val="856C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31B5C"/>
    <w:multiLevelType w:val="multilevel"/>
    <w:tmpl w:val="93165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57A55"/>
    <w:multiLevelType w:val="multilevel"/>
    <w:tmpl w:val="C35AC4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DC578C"/>
    <w:multiLevelType w:val="multilevel"/>
    <w:tmpl w:val="C73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D56221"/>
    <w:multiLevelType w:val="multilevel"/>
    <w:tmpl w:val="9B581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84B7A"/>
    <w:multiLevelType w:val="multilevel"/>
    <w:tmpl w:val="883290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C46FEC"/>
    <w:multiLevelType w:val="multilevel"/>
    <w:tmpl w:val="E0BC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80F1B"/>
    <w:multiLevelType w:val="multilevel"/>
    <w:tmpl w:val="894CB9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56321"/>
    <w:multiLevelType w:val="multilevel"/>
    <w:tmpl w:val="75325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942769"/>
    <w:multiLevelType w:val="multilevel"/>
    <w:tmpl w:val="331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C86B54"/>
    <w:multiLevelType w:val="multilevel"/>
    <w:tmpl w:val="6B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C0D75"/>
    <w:multiLevelType w:val="multilevel"/>
    <w:tmpl w:val="0ADAB3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B605D"/>
    <w:multiLevelType w:val="multilevel"/>
    <w:tmpl w:val="22F2E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B4513"/>
    <w:multiLevelType w:val="multilevel"/>
    <w:tmpl w:val="5620A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F7C91"/>
    <w:multiLevelType w:val="multilevel"/>
    <w:tmpl w:val="57AA8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86790"/>
    <w:multiLevelType w:val="multilevel"/>
    <w:tmpl w:val="BB9AA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E82F7A"/>
    <w:multiLevelType w:val="multilevel"/>
    <w:tmpl w:val="51EAD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937E0B"/>
    <w:multiLevelType w:val="multilevel"/>
    <w:tmpl w:val="980A56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7334F"/>
    <w:multiLevelType w:val="multilevel"/>
    <w:tmpl w:val="50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BC402B"/>
    <w:multiLevelType w:val="multilevel"/>
    <w:tmpl w:val="E1F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1948F1"/>
    <w:multiLevelType w:val="multilevel"/>
    <w:tmpl w:val="267E3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0215215">
    <w:abstractNumId w:val="33"/>
  </w:num>
  <w:num w:numId="2" w16cid:durableId="1229271104">
    <w:abstractNumId w:val="16"/>
  </w:num>
  <w:num w:numId="3" w16cid:durableId="1234774015">
    <w:abstractNumId w:val="31"/>
  </w:num>
  <w:num w:numId="4" w16cid:durableId="452093054">
    <w:abstractNumId w:val="19"/>
  </w:num>
  <w:num w:numId="5" w16cid:durableId="1870490603">
    <w:abstractNumId w:val="5"/>
  </w:num>
  <w:num w:numId="6" w16cid:durableId="1430617835">
    <w:abstractNumId w:val="6"/>
  </w:num>
  <w:num w:numId="7" w16cid:durableId="1171263636">
    <w:abstractNumId w:val="34"/>
  </w:num>
  <w:num w:numId="8" w16cid:durableId="1488935072">
    <w:abstractNumId w:val="17"/>
  </w:num>
  <w:num w:numId="9" w16cid:durableId="1071468840">
    <w:abstractNumId w:val="10"/>
  </w:num>
  <w:num w:numId="10" w16cid:durableId="896280312">
    <w:abstractNumId w:val="25"/>
  </w:num>
  <w:num w:numId="11" w16cid:durableId="1098215801">
    <w:abstractNumId w:val="3"/>
  </w:num>
  <w:num w:numId="12" w16cid:durableId="1892502170">
    <w:abstractNumId w:val="1"/>
  </w:num>
  <w:num w:numId="13" w16cid:durableId="1125394171">
    <w:abstractNumId w:val="28"/>
  </w:num>
  <w:num w:numId="14" w16cid:durableId="378743186">
    <w:abstractNumId w:val="22"/>
  </w:num>
  <w:num w:numId="15" w16cid:durableId="248196706">
    <w:abstractNumId w:val="2"/>
  </w:num>
  <w:num w:numId="16" w16cid:durableId="767971573">
    <w:abstractNumId w:val="29"/>
  </w:num>
  <w:num w:numId="17" w16cid:durableId="2087416807">
    <w:abstractNumId w:val="9"/>
  </w:num>
  <w:num w:numId="18" w16cid:durableId="1165508412">
    <w:abstractNumId w:val="21"/>
  </w:num>
  <w:num w:numId="19" w16cid:durableId="1830516533">
    <w:abstractNumId w:val="32"/>
  </w:num>
  <w:num w:numId="20" w16cid:durableId="1819423248">
    <w:abstractNumId w:val="18"/>
  </w:num>
  <w:num w:numId="21" w16cid:durableId="1181430061">
    <w:abstractNumId w:val="27"/>
  </w:num>
  <w:num w:numId="22" w16cid:durableId="1310743014">
    <w:abstractNumId w:val="26"/>
  </w:num>
  <w:num w:numId="23" w16cid:durableId="669065542">
    <w:abstractNumId w:val="15"/>
  </w:num>
  <w:num w:numId="24" w16cid:durableId="2076009554">
    <w:abstractNumId w:val="20"/>
  </w:num>
  <w:num w:numId="25" w16cid:durableId="1885867416">
    <w:abstractNumId w:val="14"/>
  </w:num>
  <w:num w:numId="26" w16cid:durableId="982350440">
    <w:abstractNumId w:val="24"/>
  </w:num>
  <w:num w:numId="27" w16cid:durableId="1242369050">
    <w:abstractNumId w:val="11"/>
  </w:num>
  <w:num w:numId="28" w16cid:durableId="2029257609">
    <w:abstractNumId w:val="13"/>
  </w:num>
  <w:num w:numId="29" w16cid:durableId="1445930026">
    <w:abstractNumId w:val="23"/>
  </w:num>
  <w:num w:numId="30" w16cid:durableId="507908946">
    <w:abstractNumId w:val="4"/>
  </w:num>
  <w:num w:numId="31" w16cid:durableId="1439179752">
    <w:abstractNumId w:val="30"/>
  </w:num>
  <w:num w:numId="32" w16cid:durableId="829103788">
    <w:abstractNumId w:val="8"/>
  </w:num>
  <w:num w:numId="33" w16cid:durableId="1925993208">
    <w:abstractNumId w:val="7"/>
  </w:num>
  <w:num w:numId="34" w16cid:durableId="506211661">
    <w:abstractNumId w:val="12"/>
  </w:num>
  <w:num w:numId="35" w16cid:durableId="192776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37"/>
    <w:rsid w:val="00033F97"/>
    <w:rsid w:val="000D0EF6"/>
    <w:rsid w:val="000D3CC5"/>
    <w:rsid w:val="00194C2C"/>
    <w:rsid w:val="001B0ED7"/>
    <w:rsid w:val="00255D22"/>
    <w:rsid w:val="002B7406"/>
    <w:rsid w:val="002F09BD"/>
    <w:rsid w:val="00352828"/>
    <w:rsid w:val="003C02B4"/>
    <w:rsid w:val="003F4C88"/>
    <w:rsid w:val="00414006"/>
    <w:rsid w:val="00414EBD"/>
    <w:rsid w:val="00514059"/>
    <w:rsid w:val="005372E1"/>
    <w:rsid w:val="005563CB"/>
    <w:rsid w:val="00573740"/>
    <w:rsid w:val="00593046"/>
    <w:rsid w:val="00597B23"/>
    <w:rsid w:val="006E722E"/>
    <w:rsid w:val="00794EF5"/>
    <w:rsid w:val="007F59E7"/>
    <w:rsid w:val="00816D40"/>
    <w:rsid w:val="00861D63"/>
    <w:rsid w:val="00954E02"/>
    <w:rsid w:val="009855E4"/>
    <w:rsid w:val="009950C7"/>
    <w:rsid w:val="009A633C"/>
    <w:rsid w:val="009F20AE"/>
    <w:rsid w:val="00A14D17"/>
    <w:rsid w:val="00AB3970"/>
    <w:rsid w:val="00B32292"/>
    <w:rsid w:val="00B846E1"/>
    <w:rsid w:val="00B97637"/>
    <w:rsid w:val="00BE3318"/>
    <w:rsid w:val="00C31E4D"/>
    <w:rsid w:val="00C57A92"/>
    <w:rsid w:val="00C61859"/>
    <w:rsid w:val="00C75D7F"/>
    <w:rsid w:val="00D22184"/>
    <w:rsid w:val="00DC7422"/>
    <w:rsid w:val="00E559D8"/>
    <w:rsid w:val="00EF2B28"/>
    <w:rsid w:val="00F378BB"/>
    <w:rsid w:val="00F75369"/>
    <w:rsid w:val="00F917B4"/>
    <w:rsid w:val="00FE4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4306B"/>
  <w15:chartTrackingRefBased/>
  <w15:docId w15:val="{F8D554BA-C3BB-4FAF-9CE8-FF8BB86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western">
    <w:name w:val="western"/>
    <w:basedOn w:val="Normal"/>
    <w:rsid w:val="00E559D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E559D8"/>
    <w:rPr>
      <w:b/>
      <w:bCs/>
    </w:rPr>
  </w:style>
  <w:style w:type="character" w:styleId="nfase">
    <w:name w:val="Emphasis"/>
    <w:basedOn w:val="Fontepargpadro"/>
    <w:uiPriority w:val="20"/>
    <w:qFormat/>
    <w:rsid w:val="00E559D8"/>
    <w:rPr>
      <w:i/>
      <w:iCs/>
    </w:rPr>
  </w:style>
  <w:style w:type="character" w:styleId="Hyperlink">
    <w:name w:val="Hyperlink"/>
    <w:basedOn w:val="Fontepargpadro"/>
    <w:uiPriority w:val="99"/>
    <w:unhideWhenUsed/>
    <w:rsid w:val="00E559D8"/>
    <w:rPr>
      <w:color w:val="0000FF"/>
      <w:u w:val="single"/>
    </w:rPr>
  </w:style>
  <w:style w:type="character" w:styleId="MenoPendente">
    <w:name w:val="Unresolved Mention"/>
    <w:basedOn w:val="Fontepargpadro"/>
    <w:uiPriority w:val="99"/>
    <w:semiHidden/>
    <w:unhideWhenUsed/>
    <w:rsid w:val="00861D63"/>
    <w:rPr>
      <w:color w:val="605E5C"/>
      <w:shd w:val="clear" w:color="auto" w:fill="E1DFDD"/>
    </w:rPr>
  </w:style>
  <w:style w:type="paragraph" w:styleId="PargrafodaLista">
    <w:name w:val="List Paragraph"/>
    <w:basedOn w:val="Normal"/>
    <w:uiPriority w:val="34"/>
    <w:qFormat/>
    <w:rsid w:val="00BE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32016">
      <w:bodyDiv w:val="1"/>
      <w:marLeft w:val="0"/>
      <w:marRight w:val="0"/>
      <w:marTop w:val="0"/>
      <w:marBottom w:val="0"/>
      <w:divBdr>
        <w:top w:val="none" w:sz="0" w:space="0" w:color="auto"/>
        <w:left w:val="none" w:sz="0" w:space="0" w:color="auto"/>
        <w:bottom w:val="none" w:sz="0" w:space="0" w:color="auto"/>
        <w:right w:val="none" w:sz="0" w:space="0" w:color="auto"/>
      </w:divBdr>
    </w:div>
    <w:div w:id="781460721">
      <w:bodyDiv w:val="1"/>
      <w:marLeft w:val="0"/>
      <w:marRight w:val="0"/>
      <w:marTop w:val="0"/>
      <w:marBottom w:val="0"/>
      <w:divBdr>
        <w:top w:val="none" w:sz="0" w:space="0" w:color="auto"/>
        <w:left w:val="none" w:sz="0" w:space="0" w:color="auto"/>
        <w:bottom w:val="none" w:sz="0" w:space="0" w:color="auto"/>
        <w:right w:val="none" w:sz="0" w:space="0" w:color="auto"/>
      </w:divBdr>
    </w:div>
    <w:div w:id="788208150">
      <w:bodyDiv w:val="1"/>
      <w:marLeft w:val="0"/>
      <w:marRight w:val="0"/>
      <w:marTop w:val="0"/>
      <w:marBottom w:val="0"/>
      <w:divBdr>
        <w:top w:val="none" w:sz="0" w:space="0" w:color="auto"/>
        <w:left w:val="none" w:sz="0" w:space="0" w:color="auto"/>
        <w:bottom w:val="none" w:sz="0" w:space="0" w:color="auto"/>
        <w:right w:val="none" w:sz="0" w:space="0" w:color="auto"/>
      </w:divBdr>
    </w:div>
    <w:div w:id="1097944820">
      <w:bodyDiv w:val="1"/>
      <w:marLeft w:val="0"/>
      <w:marRight w:val="0"/>
      <w:marTop w:val="0"/>
      <w:marBottom w:val="0"/>
      <w:divBdr>
        <w:top w:val="none" w:sz="0" w:space="0" w:color="auto"/>
        <w:left w:val="none" w:sz="0" w:space="0" w:color="auto"/>
        <w:bottom w:val="none" w:sz="0" w:space="0" w:color="auto"/>
        <w:right w:val="none" w:sz="0" w:space="0" w:color="auto"/>
      </w:divBdr>
    </w:div>
    <w:div w:id="1182864079">
      <w:bodyDiv w:val="1"/>
      <w:marLeft w:val="0"/>
      <w:marRight w:val="0"/>
      <w:marTop w:val="0"/>
      <w:marBottom w:val="0"/>
      <w:divBdr>
        <w:top w:val="none" w:sz="0" w:space="0" w:color="auto"/>
        <w:left w:val="none" w:sz="0" w:space="0" w:color="auto"/>
        <w:bottom w:val="none" w:sz="0" w:space="0" w:color="auto"/>
        <w:right w:val="none" w:sz="0" w:space="0" w:color="auto"/>
      </w:divBdr>
    </w:div>
    <w:div w:id="1276597544">
      <w:bodyDiv w:val="1"/>
      <w:marLeft w:val="0"/>
      <w:marRight w:val="0"/>
      <w:marTop w:val="0"/>
      <w:marBottom w:val="0"/>
      <w:divBdr>
        <w:top w:val="none" w:sz="0" w:space="0" w:color="auto"/>
        <w:left w:val="none" w:sz="0" w:space="0" w:color="auto"/>
        <w:bottom w:val="none" w:sz="0" w:space="0" w:color="auto"/>
        <w:right w:val="none" w:sz="0" w:space="0" w:color="auto"/>
      </w:divBdr>
    </w:div>
    <w:div w:id="1320303414">
      <w:bodyDiv w:val="1"/>
      <w:marLeft w:val="0"/>
      <w:marRight w:val="0"/>
      <w:marTop w:val="0"/>
      <w:marBottom w:val="0"/>
      <w:divBdr>
        <w:top w:val="none" w:sz="0" w:space="0" w:color="auto"/>
        <w:left w:val="none" w:sz="0" w:space="0" w:color="auto"/>
        <w:bottom w:val="none" w:sz="0" w:space="0" w:color="auto"/>
        <w:right w:val="none" w:sz="0" w:space="0" w:color="auto"/>
      </w:divBdr>
    </w:div>
    <w:div w:id="1516267598">
      <w:bodyDiv w:val="1"/>
      <w:marLeft w:val="0"/>
      <w:marRight w:val="0"/>
      <w:marTop w:val="0"/>
      <w:marBottom w:val="0"/>
      <w:divBdr>
        <w:top w:val="none" w:sz="0" w:space="0" w:color="auto"/>
        <w:left w:val="none" w:sz="0" w:space="0" w:color="auto"/>
        <w:bottom w:val="none" w:sz="0" w:space="0" w:color="auto"/>
        <w:right w:val="none" w:sz="0" w:space="0" w:color="auto"/>
      </w:divBdr>
    </w:div>
    <w:div w:id="1576669162">
      <w:bodyDiv w:val="1"/>
      <w:marLeft w:val="0"/>
      <w:marRight w:val="0"/>
      <w:marTop w:val="0"/>
      <w:marBottom w:val="0"/>
      <w:divBdr>
        <w:top w:val="none" w:sz="0" w:space="0" w:color="auto"/>
        <w:left w:val="none" w:sz="0" w:space="0" w:color="auto"/>
        <w:bottom w:val="none" w:sz="0" w:space="0" w:color="auto"/>
        <w:right w:val="none" w:sz="0" w:space="0" w:color="auto"/>
      </w:divBdr>
    </w:div>
    <w:div w:id="1608269180">
      <w:bodyDiv w:val="1"/>
      <w:marLeft w:val="0"/>
      <w:marRight w:val="0"/>
      <w:marTop w:val="0"/>
      <w:marBottom w:val="0"/>
      <w:divBdr>
        <w:top w:val="none" w:sz="0" w:space="0" w:color="auto"/>
        <w:left w:val="none" w:sz="0" w:space="0" w:color="auto"/>
        <w:bottom w:val="none" w:sz="0" w:space="0" w:color="auto"/>
        <w:right w:val="none" w:sz="0" w:space="0" w:color="auto"/>
      </w:divBdr>
    </w:div>
    <w:div w:id="1625430218">
      <w:bodyDiv w:val="1"/>
      <w:marLeft w:val="0"/>
      <w:marRight w:val="0"/>
      <w:marTop w:val="0"/>
      <w:marBottom w:val="0"/>
      <w:divBdr>
        <w:top w:val="none" w:sz="0" w:space="0" w:color="auto"/>
        <w:left w:val="none" w:sz="0" w:space="0" w:color="auto"/>
        <w:bottom w:val="none" w:sz="0" w:space="0" w:color="auto"/>
        <w:right w:val="none" w:sz="0" w:space="0" w:color="auto"/>
      </w:divBdr>
    </w:div>
    <w:div w:id="176857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1608</Words>
  <Characters>8689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WESCHENFELDER</dc:creator>
  <cp:keywords/>
  <dc:description/>
  <cp:lastModifiedBy>Julio.Cesar Weschenfelder</cp:lastModifiedBy>
  <cp:revision>4</cp:revision>
  <dcterms:created xsi:type="dcterms:W3CDTF">2023-03-20T12:42:00Z</dcterms:created>
  <dcterms:modified xsi:type="dcterms:W3CDTF">2023-10-26T14:02:00Z</dcterms:modified>
</cp:coreProperties>
</file>